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</w:t>
      </w:r>
      <w:r w:rsidR="00AF5AAF">
        <w:rPr>
          <w:rFonts w:ascii="Times New Roman" w:hAnsi="Times New Roman"/>
          <w:sz w:val="28"/>
          <w:szCs w:val="28"/>
        </w:rPr>
        <w:t>0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AF5AAF">
        <w:rPr>
          <w:rFonts w:ascii="Times New Roman" w:hAnsi="Times New Roman"/>
          <w:sz w:val="28"/>
          <w:szCs w:val="28"/>
        </w:rPr>
        <w:t>ноября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DA798C">
        <w:rPr>
          <w:rFonts w:ascii="Times New Roman" w:hAnsi="Times New Roman"/>
          <w:sz w:val="28"/>
          <w:szCs w:val="28"/>
        </w:rPr>
        <w:t>4</w:t>
      </w:r>
      <w:r w:rsidRPr="00715C54">
        <w:rPr>
          <w:rFonts w:ascii="Times New Roman" w:hAnsi="Times New Roman"/>
          <w:sz w:val="28"/>
          <w:szCs w:val="28"/>
        </w:rPr>
        <w:t xml:space="preserve"> г</w:t>
      </w:r>
      <w:r w:rsidRPr="007C640F">
        <w:rPr>
          <w:rFonts w:ascii="Times New Roman" w:hAnsi="Times New Roman"/>
          <w:sz w:val="28"/>
          <w:szCs w:val="28"/>
        </w:rPr>
        <w:t xml:space="preserve">.            № </w:t>
      </w:r>
      <w:r w:rsidR="00955288">
        <w:rPr>
          <w:rFonts w:ascii="Times New Roman" w:hAnsi="Times New Roman"/>
          <w:sz w:val="28"/>
          <w:szCs w:val="28"/>
        </w:rPr>
        <w:t>248</w:t>
      </w:r>
      <w:r w:rsidRPr="007C640F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</w:t>
      </w:r>
      <w:proofErr w:type="spellStart"/>
      <w:r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865057">
        <w:t>120</w:t>
      </w:r>
      <w:r w:rsidRPr="00715C54">
        <w:t xml:space="preserve">0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 w:rsidR="00865057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ул. </w:t>
      </w:r>
      <w:r w:rsidR="00865057">
        <w:t>Хрущева</w:t>
      </w:r>
      <w:r w:rsidRPr="00715C54">
        <w:t>,</w:t>
      </w:r>
      <w:r w:rsidR="00865057">
        <w:t xml:space="preserve"> д.8</w:t>
      </w:r>
      <w:r w:rsidRPr="00715C54">
        <w:t>, с кадастровым номером 08:01:2301</w:t>
      </w:r>
      <w:r w:rsidR="00865057">
        <w:t>30</w:t>
      </w:r>
      <w:r w:rsidRPr="00715C54">
        <w:t>:</w:t>
      </w:r>
      <w:r w:rsidR="00865057">
        <w:t>87</w:t>
      </w:r>
      <w:r w:rsidRPr="00715C54">
        <w:t>,  вид разрешенного использования – для индивидуального жилищного строительства.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proofErr w:type="spellStart"/>
      <w:r w:rsidR="00865057">
        <w:t>заявки</w:t>
      </w:r>
      <w:proofErr w:type="gramStart"/>
      <w:r w:rsidR="00865057">
        <w:t>,</w:t>
      </w:r>
      <w:r w:rsidRPr="00715C54">
        <w:t>п</w:t>
      </w:r>
      <w:proofErr w:type="gramEnd"/>
      <w:r w:rsidRPr="00715C54">
        <w:t>роекта</w:t>
      </w:r>
      <w:proofErr w:type="spellEnd"/>
      <w:r w:rsidRPr="00715C54">
        <w:t xml:space="preserve">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865057" w:rsidP="00715C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Глава ГГМО РК (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="00715C54"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вид разрешенного использования: Для индивидуального жилищного строительства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B57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B57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B57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AB57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444D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8162A" w:rsidRPr="00EF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44D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</w:t>
      </w:r>
      <w:bookmarkStart w:id="1" w:name="_GoBack"/>
      <w:bookmarkEnd w:id="1"/>
      <w:r>
        <w:rPr>
          <w:color w:val="000000"/>
          <w:lang w:eastAsia="ru-RU" w:bidi="ru-RU"/>
        </w:rPr>
        <w:t>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>от 2</w:t>
      </w:r>
      <w:r w:rsidR="00444DE9">
        <w:rPr>
          <w:b/>
        </w:rPr>
        <w:t>0</w:t>
      </w:r>
      <w:r w:rsidRPr="001A54A4">
        <w:rPr>
          <w:b/>
        </w:rPr>
        <w:t>.</w:t>
      </w:r>
      <w:r w:rsidR="00444DE9">
        <w:rPr>
          <w:b/>
        </w:rPr>
        <w:t>11</w:t>
      </w:r>
      <w:r w:rsidRPr="001A54A4">
        <w:rPr>
          <w:b/>
        </w:rPr>
        <w:t>.202</w:t>
      </w:r>
      <w:r w:rsidR="007C6A33">
        <w:rPr>
          <w:b/>
        </w:rPr>
        <w:t>4</w:t>
      </w:r>
      <w:r w:rsidRPr="001A54A4">
        <w:rPr>
          <w:b/>
        </w:rPr>
        <w:t xml:space="preserve"> № </w:t>
      </w:r>
      <w:r w:rsidR="0048162A" w:rsidRPr="001F6ACC">
        <w:rPr>
          <w:b/>
        </w:rPr>
        <w:t>2</w:t>
      </w:r>
      <w:r w:rsidR="001F6ACC" w:rsidRPr="001F6ACC">
        <w:rPr>
          <w:b/>
        </w:rPr>
        <w:t>48</w:t>
      </w:r>
      <w:r w:rsidRPr="001F6ACC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>ии 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48162A" w:rsidRPr="0048162A">
        <w:rPr>
          <w:rFonts w:ascii="Times New Roman" w:hAnsi="Times New Roman"/>
          <w:b/>
        </w:rPr>
        <w:t>2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</w:t>
      </w:r>
      <w:r w:rsidR="00444DE9">
        <w:rPr>
          <w:rFonts w:ascii="Times New Roman" w:hAnsi="Times New Roman"/>
          <w:b/>
        </w:rPr>
        <w:t>11</w:t>
      </w:r>
      <w:r w:rsidR="007C6A33">
        <w:rPr>
          <w:rFonts w:ascii="Times New Roman" w:hAnsi="Times New Roman"/>
          <w:b/>
        </w:rPr>
        <w:t>.</w:t>
      </w:r>
      <w:r w:rsidRPr="00657B94">
        <w:rPr>
          <w:rFonts w:ascii="Times New Roman" w:hAnsi="Times New Roman"/>
          <w:b/>
        </w:rPr>
        <w:t>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657B94" w:rsidRPr="00657B94">
        <w:rPr>
          <w:rFonts w:ascii="Times New Roman" w:hAnsi="Times New Roman"/>
          <w:b/>
        </w:rPr>
        <w:t>2</w:t>
      </w:r>
      <w:r w:rsidR="00444DE9">
        <w:rPr>
          <w:rFonts w:ascii="Times New Roman" w:hAnsi="Times New Roman"/>
          <w:b/>
        </w:rPr>
        <w:t>0</w:t>
      </w:r>
      <w:r w:rsidRPr="00657B94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7</w:t>
      </w:r>
      <w:r w:rsidRPr="000F75DB">
        <w:rPr>
          <w:rFonts w:ascii="Times New Roman" w:hAnsi="Times New Roman"/>
          <w:b/>
        </w:rPr>
        <w:t xml:space="preserve"> час. 00 мин.</w:t>
      </w:r>
      <w:r w:rsidRPr="000F75DB">
        <w:rPr>
          <w:rFonts w:ascii="Times New Roman" w:hAnsi="Times New Roman"/>
        </w:rPr>
        <w:t xml:space="preserve">  </w:t>
      </w:r>
      <w:bookmarkEnd w:id="2"/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657B94">
        <w:rPr>
          <w:rFonts w:ascii="Times New Roman" w:hAnsi="Times New Roman"/>
          <w:b/>
        </w:rPr>
        <w:t>2</w:t>
      </w:r>
      <w:r w:rsidR="00444DE9">
        <w:rPr>
          <w:rFonts w:ascii="Times New Roman" w:hAnsi="Times New Roman"/>
          <w:b/>
        </w:rPr>
        <w:t>3</w:t>
      </w:r>
      <w:r w:rsidRPr="00657B94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проведения аукциона: </w:t>
      </w:r>
      <w:r w:rsidR="00444DE9" w:rsidRPr="00444DE9">
        <w:rPr>
          <w:rFonts w:ascii="Times New Roman" w:hAnsi="Times New Roman"/>
          <w:b/>
        </w:rPr>
        <w:t>24</w:t>
      </w:r>
      <w:r w:rsidR="007C6A33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proofErr w:type="gramStart"/>
      <w:r w:rsidR="00AC509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AC5094">
        <w:rPr>
          <w:lang w:eastAsia="ru-RU" w:bidi="ru-RU"/>
        </w:rPr>
        <w:t>Городовиковский</w:t>
      </w:r>
      <w:proofErr w:type="spellEnd"/>
      <w:r w:rsidR="00AC5094">
        <w:rPr>
          <w:lang w:eastAsia="ru-RU" w:bidi="ru-RU"/>
        </w:rPr>
        <w:t xml:space="preserve"> район, г. </w:t>
      </w:r>
      <w:proofErr w:type="spellStart"/>
      <w:r w:rsidR="00AC5094">
        <w:rPr>
          <w:lang w:eastAsia="ru-RU" w:bidi="ru-RU"/>
        </w:rPr>
        <w:t>Городовиковск</w:t>
      </w:r>
      <w:proofErr w:type="spellEnd"/>
      <w:r w:rsidR="00AC5094">
        <w:rPr>
          <w:lang w:eastAsia="ru-RU" w:bidi="ru-RU"/>
        </w:rPr>
        <w:t xml:space="preserve">, ул. </w:t>
      </w:r>
      <w:r w:rsidR="007E7848">
        <w:rPr>
          <w:lang w:eastAsia="ru-RU" w:bidi="ru-RU"/>
        </w:rPr>
        <w:t>Хрущева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д.8</w:t>
      </w:r>
      <w:r w:rsidR="00AC5094" w:rsidRPr="00AC5094">
        <w:rPr>
          <w:lang w:eastAsia="ru-RU" w:bidi="ru-RU"/>
        </w:rPr>
        <w:t xml:space="preserve"> </w:t>
      </w:r>
      <w:bookmarkStart w:id="4" w:name="bookmark10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7E7848">
        <w:rPr>
          <w:color w:val="000000"/>
          <w:lang w:eastAsia="ru-RU" w:bidi="ru-RU"/>
        </w:rPr>
        <w:t>12</w:t>
      </w:r>
      <w:r>
        <w:rPr>
          <w:color w:val="000000"/>
          <w:lang w:eastAsia="ru-RU" w:bidi="ru-RU"/>
        </w:rPr>
        <w:t>00</w:t>
      </w:r>
      <w:bookmarkEnd w:id="4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7E7848">
        <w:rPr>
          <w:b/>
          <w:lang w:eastAsia="ru-RU" w:bidi="ru-RU"/>
        </w:rPr>
        <w:t>30</w:t>
      </w:r>
      <w:r w:rsidRPr="00AC5094">
        <w:rPr>
          <w:b/>
          <w:lang w:eastAsia="ru-RU" w:bidi="ru-RU"/>
        </w:rPr>
        <w:t>:</w:t>
      </w:r>
      <w:r w:rsidR="007E7848">
        <w:rPr>
          <w:b/>
          <w:lang w:eastAsia="ru-RU" w:bidi="ru-RU"/>
        </w:rPr>
        <w:t>87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индивидуального жилищного строительства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 w:rsidR="00F543D4">
        <w:rPr>
          <w:b/>
          <w:bCs/>
          <w:color w:val="000000"/>
          <w:lang w:eastAsia="ru-RU" w:bidi="ru-RU"/>
        </w:rPr>
        <w:t>Городовиковского</w:t>
      </w:r>
      <w:proofErr w:type="spellEnd"/>
      <w:r w:rsidR="00F543D4"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982D62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982D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E83EDB" w:rsidRPr="00395F5B" w:rsidRDefault="00E83EDB" w:rsidP="00AB1F70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8B758F" w:rsidRDefault="008B758F" w:rsidP="00AC5094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E749CB" w:rsidRPr="000F7ED5" w:rsidRDefault="00A42CCA" w:rsidP="00E749CB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E749CB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E749CB" w:rsidRPr="000F7ED5">
        <w:rPr>
          <w:sz w:val="22"/>
          <w:szCs w:val="22"/>
        </w:rPr>
        <w:t>Городовиковский</w:t>
      </w:r>
      <w:proofErr w:type="spellEnd"/>
      <w:r w:rsidR="00E749CB" w:rsidRPr="000F7ED5">
        <w:rPr>
          <w:sz w:val="22"/>
          <w:szCs w:val="22"/>
        </w:rPr>
        <w:t xml:space="preserve"> водоканал» ГГМО РК</w:t>
      </w:r>
      <w:r w:rsidR="000F7ED5" w:rsidRPr="000F7ED5">
        <w:rPr>
          <w:sz w:val="22"/>
          <w:szCs w:val="22"/>
        </w:rPr>
        <w:t xml:space="preserve"> от </w:t>
      </w:r>
      <w:r w:rsidR="00E749CB" w:rsidRPr="000F7ED5">
        <w:rPr>
          <w:sz w:val="22"/>
          <w:szCs w:val="22"/>
        </w:rPr>
        <w:t>2</w:t>
      </w:r>
      <w:r w:rsidR="000F7ED5" w:rsidRPr="000F7ED5">
        <w:rPr>
          <w:sz w:val="22"/>
          <w:szCs w:val="22"/>
        </w:rPr>
        <w:t>8</w:t>
      </w:r>
      <w:r w:rsidR="00E749CB" w:rsidRPr="000F7ED5">
        <w:rPr>
          <w:sz w:val="22"/>
          <w:szCs w:val="22"/>
        </w:rPr>
        <w:t>.</w:t>
      </w:r>
      <w:r w:rsidR="000F7ED5" w:rsidRPr="000F7ED5">
        <w:rPr>
          <w:sz w:val="22"/>
          <w:szCs w:val="22"/>
        </w:rPr>
        <w:t>02</w:t>
      </w:r>
      <w:r w:rsidR="00E749CB" w:rsidRPr="000F7ED5">
        <w:rPr>
          <w:sz w:val="22"/>
          <w:szCs w:val="22"/>
        </w:rPr>
        <w:t>.202</w:t>
      </w:r>
      <w:r w:rsidR="000F7ED5" w:rsidRPr="000F7ED5">
        <w:rPr>
          <w:sz w:val="22"/>
          <w:szCs w:val="22"/>
        </w:rPr>
        <w:t>4</w:t>
      </w:r>
      <w:r w:rsidR="00E749CB" w:rsidRPr="000F7ED5">
        <w:rPr>
          <w:sz w:val="22"/>
          <w:szCs w:val="22"/>
        </w:rPr>
        <w:t>г №</w:t>
      </w:r>
      <w:r w:rsidR="000F7ED5" w:rsidRPr="000F7ED5">
        <w:rPr>
          <w:sz w:val="22"/>
          <w:szCs w:val="22"/>
        </w:rPr>
        <w:t>33</w:t>
      </w:r>
      <w:r w:rsidR="00E749CB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E749CB" w:rsidRPr="000F7ED5" w:rsidRDefault="00E749CB" w:rsidP="00E749CB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</w:t>
      </w:r>
      <w:proofErr w:type="gramStart"/>
      <w:r w:rsidR="00CD2675">
        <w:rPr>
          <w:b/>
          <w:bCs/>
          <w:color w:val="000000"/>
          <w:lang w:bidi="ru-RU"/>
        </w:rPr>
        <w:t>е-</w:t>
      </w:r>
      <w:proofErr w:type="gramEnd"/>
      <w:r w:rsidR="0090372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 xml:space="preserve">газораспределение Элиста» от 28.02.2024г № </w:t>
      </w:r>
      <w:r w:rsidR="000F7ED5" w:rsidRPr="000F7ED5">
        <w:t>328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E749CB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7</w:t>
      </w:r>
      <w:r w:rsidR="0052165A" w:rsidRPr="0052165A">
        <w:rPr>
          <w:b/>
          <w:bCs/>
          <w:lang w:eastAsia="ru-RU" w:bidi="ru-RU"/>
        </w:rPr>
        <w:t>6</w:t>
      </w:r>
      <w:r>
        <w:rPr>
          <w:b/>
          <w:bCs/>
          <w:lang w:eastAsia="ru-RU" w:bidi="ru-RU"/>
        </w:rPr>
        <w:t>33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руб. (</w:t>
      </w:r>
      <w:r>
        <w:rPr>
          <w:b/>
          <w:bCs/>
          <w:lang w:eastAsia="ru-RU" w:bidi="ru-RU"/>
        </w:rPr>
        <w:t>семь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шестьсот тридцать три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E749CB">
        <w:rPr>
          <w:b/>
          <w:bCs/>
          <w:lang w:eastAsia="ru-RU" w:bidi="ru-RU"/>
        </w:rPr>
        <w:t>229</w:t>
      </w:r>
      <w:r w:rsidRPr="0052165A">
        <w:rPr>
          <w:b/>
          <w:bCs/>
          <w:lang w:eastAsia="ru-RU" w:bidi="ru-RU"/>
        </w:rPr>
        <w:t>,</w:t>
      </w:r>
      <w:r w:rsidR="00E749CB">
        <w:rPr>
          <w:b/>
          <w:bCs/>
          <w:lang w:eastAsia="ru-RU" w:bidi="ru-RU"/>
        </w:rPr>
        <w:t>01</w:t>
      </w:r>
      <w:r w:rsidRPr="0052165A">
        <w:rPr>
          <w:b/>
          <w:bCs/>
          <w:lang w:eastAsia="ru-RU" w:bidi="ru-RU"/>
        </w:rPr>
        <w:t xml:space="preserve"> руб. (</w:t>
      </w:r>
      <w:r w:rsidR="00E749CB">
        <w:rPr>
          <w:b/>
          <w:bCs/>
          <w:lang w:eastAsia="ru-RU" w:bidi="ru-RU"/>
        </w:rPr>
        <w:t>двести двадцать девять</w:t>
      </w:r>
      <w:r w:rsidRPr="0052165A">
        <w:rPr>
          <w:b/>
          <w:bCs/>
          <w:lang w:eastAsia="ru-RU" w:bidi="ru-RU"/>
        </w:rPr>
        <w:t xml:space="preserve"> руб. 0</w:t>
      </w:r>
      <w:r w:rsidR="00E749CB">
        <w:rPr>
          <w:b/>
          <w:bCs/>
          <w:lang w:eastAsia="ru-RU" w:bidi="ru-RU"/>
        </w:rPr>
        <w:t>1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242C4E">
      <w:pPr>
        <w:pStyle w:val="32"/>
        <w:keepNext/>
        <w:keepLines/>
        <w:spacing w:after="0" w:line="283" w:lineRule="auto"/>
        <w:jc w:val="both"/>
        <w:rPr>
          <w:b w:val="0"/>
          <w:bCs w:val="0"/>
          <w:color w:val="000000"/>
          <w:lang w:eastAsia="ru-RU" w:bidi="ru-RU"/>
        </w:rPr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E749CB" w:rsidRPr="00E749CB">
        <w:rPr>
          <w:bCs w:val="0"/>
          <w:lang w:eastAsia="ru-RU" w:bidi="ru-RU"/>
        </w:rPr>
        <w:t>7633,60 руб. (семь тысяч шестьсот тридцать три  руб. 60 коп.)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242C4E" w:rsidRDefault="00242C4E" w:rsidP="00242C4E">
      <w:pPr>
        <w:pStyle w:val="11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lastRenderedPageBreak/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3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6" w:name="bookmark17"/>
      <w:r>
        <w:rPr>
          <w:color w:val="000000"/>
          <w:lang w:eastAsia="ru-RU" w:bidi="ru-RU"/>
        </w:rPr>
        <w:t>Дата и время начала приема Заявок</w:t>
      </w:r>
      <w:r>
        <w:rPr>
          <w:b w:val="0"/>
          <w:bCs w:val="0"/>
          <w:color w:val="000000"/>
          <w:lang w:eastAsia="ru-RU" w:bidi="ru-RU"/>
        </w:rPr>
        <w:t xml:space="preserve">: </w:t>
      </w:r>
      <w:r w:rsidR="0048162A" w:rsidRPr="0048162A">
        <w:rPr>
          <w:bCs w:val="0"/>
          <w:color w:val="000000"/>
          <w:lang w:eastAsia="ru-RU" w:bidi="ru-RU"/>
        </w:rPr>
        <w:t>2</w:t>
      </w:r>
      <w:r w:rsidR="00444DE9">
        <w:rPr>
          <w:bCs w:val="0"/>
          <w:color w:val="000000"/>
          <w:lang w:eastAsia="ru-RU" w:bidi="ru-RU"/>
        </w:rPr>
        <w:t>2</w:t>
      </w:r>
      <w:r w:rsidRPr="00E749CB">
        <w:rPr>
          <w:lang w:eastAsia="ru-RU" w:bidi="ru-RU"/>
        </w:rPr>
        <w:t>.</w:t>
      </w:r>
      <w:r w:rsidR="00444DE9">
        <w:rPr>
          <w:lang w:eastAsia="ru-RU" w:bidi="ru-RU"/>
        </w:rPr>
        <w:t>11</w:t>
      </w:r>
      <w:r w:rsidRPr="00657B94">
        <w:rPr>
          <w:lang w:eastAsia="ru-RU" w:bidi="ru-RU"/>
        </w:rPr>
        <w:t>.202</w:t>
      </w:r>
      <w:r w:rsidR="00E749CB">
        <w:rPr>
          <w:lang w:eastAsia="ru-RU" w:bidi="ru-RU"/>
        </w:rPr>
        <w:t>4</w:t>
      </w:r>
      <w:r w:rsidRPr="00657B94">
        <w:rPr>
          <w:lang w:eastAsia="ru-RU" w:bidi="ru-RU"/>
        </w:rPr>
        <w:t xml:space="preserve"> </w:t>
      </w:r>
      <w:r w:rsidR="000A380B" w:rsidRPr="00657B94">
        <w:rPr>
          <w:lang w:eastAsia="ru-RU" w:bidi="ru-RU"/>
        </w:rPr>
        <w:t>10</w:t>
      </w:r>
      <w:r w:rsidRPr="00657B94">
        <w:rPr>
          <w:lang w:eastAsia="ru-RU" w:bidi="ru-RU"/>
        </w:rPr>
        <w:t>:00.</w:t>
      </w:r>
      <w:bookmarkEnd w:id="6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Pr="00657B94">
        <w:rPr>
          <w:b/>
          <w:bCs/>
          <w:lang w:eastAsia="ru-RU" w:bidi="ru-RU"/>
        </w:rPr>
        <w:t>2</w:t>
      </w:r>
      <w:r w:rsidR="00444DE9">
        <w:rPr>
          <w:b/>
          <w:bCs/>
          <w:lang w:eastAsia="ru-RU" w:bidi="ru-RU"/>
        </w:rPr>
        <w:t>0</w:t>
      </w:r>
      <w:r w:rsidR="00E749CB">
        <w:rPr>
          <w:b/>
          <w:bCs/>
          <w:lang w:eastAsia="ru-RU" w:bidi="ru-RU"/>
        </w:rPr>
        <w:t>.</w:t>
      </w:r>
      <w:r w:rsidR="0048162A" w:rsidRPr="0048162A">
        <w:rPr>
          <w:b/>
          <w:bCs/>
          <w:lang w:eastAsia="ru-RU" w:bidi="ru-RU"/>
        </w:rPr>
        <w:t>1</w:t>
      </w:r>
      <w:r w:rsidR="00444DE9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7</w:t>
      </w:r>
      <w:r w:rsidRPr="00657B94">
        <w:rPr>
          <w:b/>
          <w:bCs/>
          <w:lang w:eastAsia="ru-RU" w:bidi="ru-RU"/>
        </w:rPr>
        <w:t>:00.</w:t>
      </w:r>
    </w:p>
    <w:p w:rsidR="008B758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>
        <w:rPr>
          <w:b/>
          <w:bCs/>
          <w:color w:val="000000"/>
          <w:lang w:eastAsia="ru-RU" w:bidi="ru-RU"/>
        </w:rPr>
        <w:t xml:space="preserve">: </w:t>
      </w:r>
      <w:r w:rsidRPr="00657B94">
        <w:rPr>
          <w:b/>
          <w:bCs/>
          <w:lang w:eastAsia="ru-RU" w:bidi="ru-RU"/>
        </w:rPr>
        <w:t>2</w:t>
      </w:r>
      <w:r w:rsidR="00444DE9">
        <w:rPr>
          <w:b/>
          <w:bCs/>
          <w:lang w:eastAsia="ru-RU" w:bidi="ru-RU"/>
        </w:rPr>
        <w:t>3</w:t>
      </w:r>
      <w:r w:rsidRPr="00657B94">
        <w:rPr>
          <w:b/>
          <w:bCs/>
          <w:lang w:eastAsia="ru-RU" w:bidi="ru-RU"/>
        </w:rPr>
        <w:t>.</w:t>
      </w:r>
      <w:r w:rsidR="0048162A" w:rsidRPr="0048162A">
        <w:rPr>
          <w:b/>
          <w:bCs/>
          <w:lang w:eastAsia="ru-RU" w:bidi="ru-RU"/>
        </w:rPr>
        <w:t>1</w:t>
      </w:r>
      <w:r w:rsidR="00444DE9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4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444DE9">
        <w:rPr>
          <w:b/>
          <w:bCs/>
          <w:color w:val="000000"/>
          <w:lang w:eastAsia="ru-RU" w:bidi="ru-RU"/>
        </w:rPr>
        <w:t>24</w:t>
      </w:r>
      <w:r w:rsidRPr="00657B94">
        <w:rPr>
          <w:b/>
          <w:bCs/>
          <w:lang w:eastAsia="ru-RU" w:bidi="ru-RU"/>
        </w:rPr>
        <w:t>.</w:t>
      </w:r>
      <w:r w:rsidR="0048162A" w:rsidRPr="0048162A">
        <w:rPr>
          <w:b/>
          <w:bCs/>
          <w:lang w:eastAsia="ru-RU" w:bidi="ru-RU"/>
        </w:rPr>
        <w:t>1</w:t>
      </w:r>
      <w:r w:rsidR="00444DE9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7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</w:t>
      </w:r>
      <w:proofErr w:type="gramStart"/>
      <w:r>
        <w:t>ии 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8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8B758F" w:rsidRDefault="008B758F" w:rsidP="008B758F">
      <w:pPr>
        <w:pStyle w:val="11"/>
        <w:spacing w:after="280"/>
        <w:ind w:firstLine="460"/>
        <w:jc w:val="both"/>
      </w:pPr>
      <w:proofErr w:type="gramStart"/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  <w:proofErr w:type="gramEnd"/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9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9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5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6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gov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 w:rsidR="008B758F">
        <w:rPr>
          <w:color w:val="000000"/>
          <w:lang w:eastAsia="ru-RU" w:bidi="ru-RU"/>
        </w:rPr>
        <w:t>оформленную</w:t>
      </w:r>
      <w:proofErr w:type="gramEnd"/>
      <w:r w:rsidR="008B758F"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10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10"/>
    </w:p>
    <w:p w:rsidR="000F7ED5" w:rsidRDefault="000F7ED5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lastRenderedPageBreak/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1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1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7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8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lastRenderedPageBreak/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2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2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proofErr w:type="gramStart"/>
      <w:r>
        <w:rPr>
          <w:color w:val="000000"/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)</w:t>
      </w:r>
      <w:proofErr w:type="gramEnd"/>
      <w:r w:rsidR="008B758F">
        <w:rPr>
          <w:color w:val="000000"/>
          <w:lang w:eastAsia="ru-RU" w:bidi="ru-RU"/>
        </w:rPr>
        <w:t xml:space="preserve">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Ответственность за достоверность указанной в Заявке информации и приложенных к ней </w:t>
      </w:r>
      <w:r w:rsidR="008B758F">
        <w:rPr>
          <w:color w:val="000000"/>
          <w:lang w:eastAsia="ru-RU" w:bidi="ru-RU"/>
        </w:rPr>
        <w:lastRenderedPageBreak/>
        <w:t>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3" w:name="bookmark31"/>
      <w:r>
        <w:rPr>
          <w:color w:val="000000"/>
          <w:lang w:eastAsia="ru-RU" w:bidi="ru-RU"/>
        </w:rPr>
        <w:t>Аукционная комиссия</w:t>
      </w:r>
      <w:bookmarkEnd w:id="13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3"/>
      <w:r>
        <w:rPr>
          <w:color w:val="000000"/>
          <w:lang w:eastAsia="ru-RU" w:bidi="ru-RU"/>
        </w:rPr>
        <w:t>Порядок рассмотрения Заявок</w:t>
      </w:r>
      <w:bookmarkEnd w:id="14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5"/>
      <w:r>
        <w:rPr>
          <w:color w:val="000000"/>
          <w:lang w:eastAsia="ru-RU" w:bidi="ru-RU"/>
        </w:rPr>
        <w:t>Порядок проведения аукциона</w:t>
      </w:r>
      <w:bookmarkEnd w:id="15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Default="00913111" w:rsidP="00913111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0F7ED5" w:rsidRPr="00FF6B2A" w:rsidRDefault="000F7ED5" w:rsidP="00913111">
      <w:pPr>
        <w:pStyle w:val="11"/>
        <w:tabs>
          <w:tab w:val="left" w:pos="1034"/>
        </w:tabs>
        <w:spacing w:after="280"/>
        <w:ind w:firstLine="0"/>
        <w:jc w:val="both"/>
      </w:pP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lastRenderedPageBreak/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6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6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</w:t>
      </w:r>
      <w:proofErr w:type="gramStart"/>
      <w:r w:rsidR="008B758F">
        <w:rPr>
          <w:color w:val="000000"/>
          <w:lang w:eastAsia="ru-RU" w:bidi="ru-RU"/>
        </w:rPr>
        <w:t xml:space="preserve"> ,</w:t>
      </w:r>
      <w:proofErr w:type="gramEnd"/>
      <w:r w:rsidR="008B758F">
        <w:rPr>
          <w:color w:val="000000"/>
          <w:lang w:eastAsia="ru-RU" w:bidi="ru-RU"/>
        </w:rPr>
        <w:t xml:space="preserve">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</w:t>
      </w:r>
      <w:r w:rsidR="00284502">
        <w:rPr>
          <w:bCs/>
          <w:lang w:eastAsia="ru-RU" w:bidi="ru-RU"/>
        </w:rPr>
        <w:lastRenderedPageBreak/>
        <w:t>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телекоммуниционной</w:t>
      </w:r>
      <w:proofErr w:type="spellEnd"/>
      <w:r>
        <w:t xml:space="preserve">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proofErr w:type="spellStart"/>
      <w:r>
        <w:rPr>
          <w:lang w:val="en-US"/>
        </w:rPr>
        <w:t>torgi</w:t>
      </w:r>
      <w:proofErr w:type="spellEnd"/>
      <w:r w:rsidRPr="00EF4BC1">
        <w:t>.</w:t>
      </w:r>
      <w:proofErr w:type="spellStart"/>
      <w:r>
        <w:rPr>
          <w:lang w:val="en-US"/>
        </w:rPr>
        <w:t>gov</w:t>
      </w:r>
      <w:proofErr w:type="spellEnd"/>
      <w:r w:rsidRPr="00EF4BC1">
        <w:t>.</w:t>
      </w:r>
      <w:proofErr w:type="spellStart"/>
      <w:r>
        <w:rPr>
          <w:lang w:val="en-US"/>
        </w:rPr>
        <w:t>ru</w:t>
      </w:r>
      <w:proofErr w:type="spellEnd"/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</w:t>
      </w:r>
      <w:proofErr w:type="spellStart"/>
      <w:r>
        <w:t>Городовиковского</w:t>
      </w:r>
      <w:proofErr w:type="spellEnd"/>
      <w:r>
        <w:t xml:space="preserve"> ГМО РК </w:t>
      </w:r>
      <w:hyperlink r:id="rId19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52165A">
          <w:footerReference w:type="default" r:id="rId20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 xml:space="preserve">:___________________________________, 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>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</w:t>
      </w:r>
      <w:r w:rsidRPr="0048162A">
        <w:rPr>
          <w:rFonts w:ascii="Times New Roman" w:hAnsi="Times New Roman"/>
        </w:rPr>
        <w:t xml:space="preserve">который состоится </w:t>
      </w:r>
      <w:r w:rsidR="00444DE9">
        <w:rPr>
          <w:rFonts w:ascii="Times New Roman" w:hAnsi="Times New Roman"/>
          <w:b/>
        </w:rPr>
        <w:t>24</w:t>
      </w:r>
      <w:r w:rsidRPr="0048162A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444DE9">
        <w:rPr>
          <w:rFonts w:ascii="Times New Roman" w:hAnsi="Times New Roman"/>
          <w:b/>
        </w:rPr>
        <w:t>2</w:t>
      </w:r>
      <w:r w:rsidR="004C25AC" w:rsidRPr="0048162A">
        <w:rPr>
          <w:rFonts w:ascii="Times New Roman" w:hAnsi="Times New Roman"/>
          <w:b/>
        </w:rPr>
        <w:t>.2024</w:t>
      </w:r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1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Городовиковск</w:t>
      </w:r>
      <w:proofErr w:type="spellEnd"/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</w:t>
      </w:r>
      <w:r w:rsidR="000D4ABE">
        <w:t xml:space="preserve"> </w:t>
      </w:r>
      <w:hyperlink r:id="rId22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proofErr w:type="gramStart"/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 </w:t>
      </w:r>
      <w:hyperlink r:id="rId24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</w:t>
      </w:r>
      <w:proofErr w:type="gramStart"/>
      <w:r w:rsidRPr="009E2A14">
        <w:rPr>
          <w:rFonts w:ascii="Times New Roman" w:hAnsi="Times New Roman"/>
          <w:color w:val="000000"/>
        </w:rPr>
        <w:t>ознакомлен</w:t>
      </w:r>
      <w:proofErr w:type="gramEnd"/>
      <w:r w:rsidRPr="009E2A14">
        <w:rPr>
          <w:rFonts w:ascii="Times New Roman" w:hAnsi="Times New Roman"/>
          <w:color w:val="000000"/>
        </w:rPr>
        <w:t xml:space="preserve">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lastRenderedPageBreak/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</w:t>
      </w:r>
      <w:proofErr w:type="gramStart"/>
      <w:r w:rsidRPr="001C20BC">
        <w:rPr>
          <w:rFonts w:ascii="Times New Roman" w:hAnsi="Times New Roman"/>
        </w:rPr>
        <w:t>ии ау</w:t>
      </w:r>
      <w:proofErr w:type="gramEnd"/>
      <w:r w:rsidRPr="001C20BC">
        <w:rPr>
          <w:rFonts w:ascii="Times New Roman" w:hAnsi="Times New Roman"/>
        </w:rPr>
        <w:t>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lastRenderedPageBreak/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AA4AFB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AA4AFB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Доходы, получаемые в виде арендной платы, за земельные участки, государственная собственность на которые не разграничена и которые </w:t>
      </w:r>
      <w:r w:rsidRPr="00355872">
        <w:rPr>
          <w:rFonts w:ascii="Times New Roman" w:hAnsi="Times New Roman"/>
          <w:color w:val="000000"/>
          <w:sz w:val="24"/>
          <w:szCs w:val="24"/>
        </w:rPr>
        <w:lastRenderedPageBreak/>
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</w:t>
      </w:r>
      <w:r w:rsidRPr="00355872">
        <w:rPr>
          <w:color w:val="021403"/>
          <w:sz w:val="24"/>
          <w:szCs w:val="24"/>
        </w:rPr>
        <w:lastRenderedPageBreak/>
        <w:t xml:space="preserve">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proofErr w:type="gramStart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proofErr w:type="gramEnd"/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</w:t>
      </w:r>
      <w:proofErr w:type="gramStart"/>
      <w:r w:rsidRPr="005727A5">
        <w:rPr>
          <w:sz w:val="24"/>
          <w:szCs w:val="24"/>
        </w:rPr>
        <w:t>д</w:t>
      </w:r>
      <w:proofErr w:type="gramEnd"/>
      <w:r w:rsidRPr="005727A5">
        <w:rPr>
          <w:sz w:val="24"/>
          <w:szCs w:val="24"/>
        </w:rPr>
        <w:t>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DB3A00" w:rsidP="00DB3A0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C25AC" w:rsidRPr="005727A5" w:rsidRDefault="004C25AC" w:rsidP="005727A5">
      <w:pPr>
        <w:pStyle w:val="ConsPlusNormal"/>
        <w:ind w:firstLine="540"/>
        <w:jc w:val="both"/>
        <w:rPr>
          <w:sz w:val="24"/>
          <w:szCs w:val="24"/>
        </w:rPr>
      </w:pP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903243">
        <w:trPr>
          <w:trHeight w:val="767"/>
        </w:trPr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DB3A00" w:rsidP="00903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="003B5DD1"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 w:rsidR="003B5DD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Приложение № 1 к Договору аренды земельного участка, государственная собственность на который не разграничена № ____ от «____» ________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BF2406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DB3A00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DB3A00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DB3A00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</w:p>
    <w:p w:rsidR="006A1AD2" w:rsidRPr="006A1AD2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A2" w:rsidRDefault="004948A2" w:rsidP="00F543D4">
      <w:pPr>
        <w:spacing w:after="0" w:line="240" w:lineRule="auto"/>
      </w:pPr>
      <w:r>
        <w:separator/>
      </w:r>
    </w:p>
  </w:endnote>
  <w:endnote w:type="continuationSeparator" w:id="0">
    <w:p w:rsidR="004948A2" w:rsidRDefault="004948A2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4F" w:rsidRDefault="00AB574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C4F65" wp14:editId="16CED945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574F" w:rsidRDefault="00AB574F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6ACC" w:rsidRPr="001F6ACC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AB574F" w:rsidRDefault="00AB574F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6ACC" w:rsidRPr="001F6ACC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A2" w:rsidRDefault="004948A2" w:rsidP="00F543D4">
      <w:pPr>
        <w:spacing w:after="0" w:line="240" w:lineRule="auto"/>
      </w:pPr>
      <w:r>
        <w:separator/>
      </w:r>
    </w:p>
  </w:footnote>
  <w:footnote w:type="continuationSeparator" w:id="0">
    <w:p w:rsidR="004948A2" w:rsidRDefault="004948A2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2BE7"/>
    <w:rsid w:val="0009038E"/>
    <w:rsid w:val="000A123B"/>
    <w:rsid w:val="000A380B"/>
    <w:rsid w:val="000B0EAC"/>
    <w:rsid w:val="000C1B74"/>
    <w:rsid w:val="000D4ABE"/>
    <w:rsid w:val="000F479D"/>
    <w:rsid w:val="000F75DB"/>
    <w:rsid w:val="000F7ED5"/>
    <w:rsid w:val="00102F6F"/>
    <w:rsid w:val="00123BA9"/>
    <w:rsid w:val="00137723"/>
    <w:rsid w:val="00160AD3"/>
    <w:rsid w:val="00183CFE"/>
    <w:rsid w:val="001A0B08"/>
    <w:rsid w:val="001A54A4"/>
    <w:rsid w:val="001C20BC"/>
    <w:rsid w:val="001F6ACC"/>
    <w:rsid w:val="00203AD2"/>
    <w:rsid w:val="002322B4"/>
    <w:rsid w:val="00240649"/>
    <w:rsid w:val="00242C4E"/>
    <w:rsid w:val="002518B2"/>
    <w:rsid w:val="00261BB6"/>
    <w:rsid w:val="00264CB5"/>
    <w:rsid w:val="00284502"/>
    <w:rsid w:val="002920E6"/>
    <w:rsid w:val="002938ED"/>
    <w:rsid w:val="002B0E1E"/>
    <w:rsid w:val="002B1358"/>
    <w:rsid w:val="002B52F4"/>
    <w:rsid w:val="002E44A7"/>
    <w:rsid w:val="00346DFF"/>
    <w:rsid w:val="00355872"/>
    <w:rsid w:val="0039009C"/>
    <w:rsid w:val="003B5DD1"/>
    <w:rsid w:val="003F02BC"/>
    <w:rsid w:val="003F38E0"/>
    <w:rsid w:val="003F6480"/>
    <w:rsid w:val="00440B2A"/>
    <w:rsid w:val="00444DE9"/>
    <w:rsid w:val="0048162A"/>
    <w:rsid w:val="004948A2"/>
    <w:rsid w:val="004B2FA9"/>
    <w:rsid w:val="004B7A10"/>
    <w:rsid w:val="004C25AC"/>
    <w:rsid w:val="004E616F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F0F9E"/>
    <w:rsid w:val="005F628B"/>
    <w:rsid w:val="0062389B"/>
    <w:rsid w:val="00641A80"/>
    <w:rsid w:val="0065618E"/>
    <w:rsid w:val="00657B94"/>
    <w:rsid w:val="00671F0A"/>
    <w:rsid w:val="00680A6D"/>
    <w:rsid w:val="006A1AD2"/>
    <w:rsid w:val="006A5DED"/>
    <w:rsid w:val="006C14EF"/>
    <w:rsid w:val="006E53B8"/>
    <w:rsid w:val="006E6ECC"/>
    <w:rsid w:val="00715C54"/>
    <w:rsid w:val="0071635F"/>
    <w:rsid w:val="00736D4B"/>
    <w:rsid w:val="007417B1"/>
    <w:rsid w:val="007531DB"/>
    <w:rsid w:val="007872E8"/>
    <w:rsid w:val="007C640F"/>
    <w:rsid w:val="007C6A33"/>
    <w:rsid w:val="007E585C"/>
    <w:rsid w:val="007E63C0"/>
    <w:rsid w:val="007E7848"/>
    <w:rsid w:val="00804DD4"/>
    <w:rsid w:val="00811B3F"/>
    <w:rsid w:val="008151C3"/>
    <w:rsid w:val="008370F6"/>
    <w:rsid w:val="00865057"/>
    <w:rsid w:val="008A1529"/>
    <w:rsid w:val="008A4CFB"/>
    <w:rsid w:val="008B22CF"/>
    <w:rsid w:val="008B30FE"/>
    <w:rsid w:val="008B758F"/>
    <w:rsid w:val="008F0DCC"/>
    <w:rsid w:val="00903243"/>
    <w:rsid w:val="00903726"/>
    <w:rsid w:val="00913111"/>
    <w:rsid w:val="009314FB"/>
    <w:rsid w:val="0093636C"/>
    <w:rsid w:val="00955288"/>
    <w:rsid w:val="009606E8"/>
    <w:rsid w:val="00982D62"/>
    <w:rsid w:val="009D2BC6"/>
    <w:rsid w:val="009D322D"/>
    <w:rsid w:val="009D6663"/>
    <w:rsid w:val="009E2A14"/>
    <w:rsid w:val="00A0448A"/>
    <w:rsid w:val="00A42CCA"/>
    <w:rsid w:val="00A776E5"/>
    <w:rsid w:val="00A8215C"/>
    <w:rsid w:val="00AA4AFB"/>
    <w:rsid w:val="00AB1393"/>
    <w:rsid w:val="00AB1F70"/>
    <w:rsid w:val="00AB574F"/>
    <w:rsid w:val="00AC5094"/>
    <w:rsid w:val="00AD2736"/>
    <w:rsid w:val="00AE00E9"/>
    <w:rsid w:val="00AF5AAF"/>
    <w:rsid w:val="00B20958"/>
    <w:rsid w:val="00BB6BD6"/>
    <w:rsid w:val="00BF2406"/>
    <w:rsid w:val="00C176AF"/>
    <w:rsid w:val="00C3787D"/>
    <w:rsid w:val="00C57D51"/>
    <w:rsid w:val="00C618D6"/>
    <w:rsid w:val="00C82B62"/>
    <w:rsid w:val="00CD2675"/>
    <w:rsid w:val="00D44692"/>
    <w:rsid w:val="00DA75E3"/>
    <w:rsid w:val="00DA798C"/>
    <w:rsid w:val="00DB3A00"/>
    <w:rsid w:val="00E00A46"/>
    <w:rsid w:val="00E01F1F"/>
    <w:rsid w:val="00E3210B"/>
    <w:rsid w:val="00E37CF7"/>
    <w:rsid w:val="00E749CB"/>
    <w:rsid w:val="00E83EDB"/>
    <w:rsid w:val="00E85264"/>
    <w:rsid w:val="00E96BEB"/>
    <w:rsid w:val="00EA52B2"/>
    <w:rsid w:val="00EA666A"/>
    <w:rsid w:val="00EB1B04"/>
    <w:rsid w:val="00EE31A5"/>
    <w:rsid w:val="00EF3168"/>
    <w:rsid w:val="00F0659E"/>
    <w:rsid w:val="00F129BB"/>
    <w:rsid w:val="00F20AC2"/>
    <w:rsid w:val="00F3595B"/>
    <w:rsid w:val="00F543D4"/>
    <w:rsid w:val="00F6423E"/>
    <w:rsid w:val="00F72753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ts-tender.ru/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rts-tender.ru/tariffs/platform-property-sales-tariffs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rts-tender.ru/" TargetMode="Externa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s://ggmor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9562</Words>
  <Characters>54507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114</cp:revision>
  <cp:lastPrinted>2024-11-20T12:02:00Z</cp:lastPrinted>
  <dcterms:created xsi:type="dcterms:W3CDTF">2023-11-17T13:43:00Z</dcterms:created>
  <dcterms:modified xsi:type="dcterms:W3CDTF">2024-11-21T07:35:00Z</dcterms:modified>
</cp:coreProperties>
</file>