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0"/>
        <w:gridCol w:w="1620"/>
        <w:gridCol w:w="4340"/>
      </w:tblGrid>
      <w:tr w:rsidR="00E60001" w:rsidRPr="00E60001" w:rsidTr="00582A15">
        <w:trPr>
          <w:trHeight w:val="1797"/>
        </w:trPr>
        <w:tc>
          <w:tcPr>
            <w:tcW w:w="4500" w:type="dxa"/>
          </w:tcPr>
          <w:p w:rsidR="00E60001" w:rsidRPr="00E60001" w:rsidRDefault="00E60001" w:rsidP="00582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60001" w:rsidRPr="00E60001" w:rsidRDefault="00E60001" w:rsidP="00582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E60001" w:rsidRPr="00E60001" w:rsidRDefault="00E60001" w:rsidP="00582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E60001" w:rsidRPr="00E60001" w:rsidRDefault="00E60001" w:rsidP="00E60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</w:tcPr>
          <w:p w:rsidR="00E60001" w:rsidRPr="00E60001" w:rsidRDefault="00E60001" w:rsidP="00582A15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0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E60001" w:rsidRPr="00E60001" w:rsidRDefault="00E60001" w:rsidP="00582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E60001" w:rsidRPr="00E60001" w:rsidRDefault="00E60001" w:rsidP="00582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E60001" w:rsidRPr="00E60001" w:rsidRDefault="00E60001" w:rsidP="00582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E60001" w:rsidRPr="00E60001" w:rsidRDefault="00E60001" w:rsidP="00E60001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001">
        <w:rPr>
          <w:rFonts w:ascii="Times New Roman" w:hAnsi="Times New Roman" w:cs="Times New Roman"/>
          <w:sz w:val="24"/>
          <w:szCs w:val="24"/>
        </w:rPr>
        <w:t xml:space="preserve">359050, Республика Калмыкия, </w:t>
      </w:r>
      <w:proofErr w:type="spellStart"/>
      <w:r w:rsidRPr="00E6000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6000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60001">
        <w:rPr>
          <w:rFonts w:ascii="Times New Roman" w:hAnsi="Times New Roman" w:cs="Times New Roman"/>
          <w:sz w:val="24"/>
          <w:szCs w:val="24"/>
        </w:rPr>
        <w:t>ородовиковск</w:t>
      </w:r>
      <w:proofErr w:type="spellEnd"/>
      <w:r w:rsidRPr="00E60001">
        <w:rPr>
          <w:rFonts w:ascii="Times New Roman" w:hAnsi="Times New Roman" w:cs="Times New Roman"/>
          <w:sz w:val="24"/>
          <w:szCs w:val="24"/>
        </w:rPr>
        <w:t>, пер.  Комсомольский 3,</w:t>
      </w:r>
    </w:p>
    <w:p w:rsidR="00E60001" w:rsidRPr="00E60001" w:rsidRDefault="00E60001" w:rsidP="00E60001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001">
        <w:rPr>
          <w:rFonts w:ascii="Times New Roman" w:hAnsi="Times New Roman" w:cs="Times New Roman"/>
          <w:sz w:val="24"/>
          <w:szCs w:val="24"/>
        </w:rPr>
        <w:t xml:space="preserve">тел/факс (84731)  91-7-67, 91-8-67, </w:t>
      </w:r>
      <w:r w:rsidRPr="00E6000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0001">
        <w:rPr>
          <w:rFonts w:ascii="Times New Roman" w:hAnsi="Times New Roman" w:cs="Times New Roman"/>
          <w:sz w:val="24"/>
          <w:szCs w:val="24"/>
        </w:rPr>
        <w:t>-</w:t>
      </w:r>
      <w:r w:rsidRPr="00E6000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60001">
        <w:rPr>
          <w:rFonts w:ascii="Times New Roman" w:hAnsi="Times New Roman" w:cs="Times New Roman"/>
          <w:sz w:val="24"/>
          <w:szCs w:val="24"/>
        </w:rPr>
        <w:t xml:space="preserve">:  </w:t>
      </w:r>
      <w:hyperlink r:id="rId9" w:history="1">
        <w:r w:rsidRPr="00E600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ggmo</w:t>
        </w:r>
        <w:r w:rsidRPr="00E6000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600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600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0001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E60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001" w:rsidRPr="00E60001" w:rsidRDefault="00E60001" w:rsidP="00E60001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E60001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</w:t>
      </w:r>
      <w:r>
        <w:t xml:space="preserve">                                                              </w:t>
      </w:r>
      <w:r w:rsidRPr="004B6E81">
        <w:rPr>
          <w:b/>
        </w:rPr>
        <w:t xml:space="preserve">       </w:t>
      </w:r>
      <w:r>
        <w:t xml:space="preserve">     </w:t>
      </w:r>
    </w:p>
    <w:p w:rsidR="00E60001" w:rsidRDefault="00D47BB3" w:rsidP="0028557E">
      <w:pPr>
        <w:tabs>
          <w:tab w:val="center" w:pos="48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ноября  2015</w:t>
      </w:r>
      <w:r w:rsidRPr="00E6000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0001" w:rsidRPr="00E60001">
        <w:rPr>
          <w:rFonts w:ascii="Times New Roman" w:hAnsi="Times New Roman" w:cs="Times New Roman"/>
          <w:sz w:val="28"/>
          <w:szCs w:val="28"/>
        </w:rPr>
        <w:t xml:space="preserve">№ </w:t>
      </w:r>
      <w:r w:rsidR="008210B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0001" w:rsidRPr="00E6000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</w:t>
      </w:r>
      <w:proofErr w:type="spellEnd"/>
    </w:p>
    <w:p w:rsidR="00D47BB3" w:rsidRDefault="00D47BB3" w:rsidP="0028557E">
      <w:pPr>
        <w:tabs>
          <w:tab w:val="center" w:pos="4848"/>
        </w:tabs>
        <w:rPr>
          <w:rFonts w:ascii="Times New Roman" w:hAnsi="Times New Roman" w:cs="Times New Roman"/>
          <w:sz w:val="28"/>
          <w:szCs w:val="28"/>
        </w:rPr>
      </w:pPr>
    </w:p>
    <w:p w:rsidR="00D47BB3" w:rsidRPr="000135A7" w:rsidRDefault="00D47BB3" w:rsidP="00D47BB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7BB3" w:rsidRPr="000135A7" w:rsidRDefault="00D47BB3" w:rsidP="00D47BB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47BB3" w:rsidRPr="000135A7" w:rsidRDefault="00D47BB3" w:rsidP="00D47BB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35A7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 и утверждения бюджетного прогноза</w:t>
      </w:r>
    </w:p>
    <w:p w:rsidR="00D47BB3" w:rsidRPr="000135A7" w:rsidRDefault="00D47BB3" w:rsidP="00D47BB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муниципального образования </w:t>
      </w:r>
      <w:r w:rsidRPr="000135A7">
        <w:rPr>
          <w:rFonts w:ascii="Times New Roman" w:hAnsi="Times New Roman" w:cs="Times New Roman"/>
          <w:b w:val="0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Калмыкия</w:t>
      </w:r>
      <w:r w:rsidRPr="000135A7">
        <w:rPr>
          <w:rFonts w:ascii="Times New Roman" w:hAnsi="Times New Roman" w:cs="Times New Roman"/>
          <w:b w:val="0"/>
          <w:sz w:val="28"/>
          <w:szCs w:val="28"/>
        </w:rPr>
        <w:t xml:space="preserve"> на долгосрочный период</w:t>
      </w:r>
    </w:p>
    <w:p w:rsidR="00D47BB3" w:rsidRDefault="00D47BB3" w:rsidP="00D47B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BB3" w:rsidRPr="00505003" w:rsidRDefault="00D47BB3" w:rsidP="00D47B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7BB3" w:rsidRDefault="00D47BB3" w:rsidP="00D47BB3">
      <w:pPr>
        <w:pStyle w:val="1"/>
        <w:ind w:firstLine="708"/>
        <w:jc w:val="both"/>
        <w:rPr>
          <w:b w:val="0"/>
          <w:szCs w:val="28"/>
        </w:rPr>
      </w:pPr>
      <w:proofErr w:type="gramStart"/>
      <w:r w:rsidRPr="00B1676F">
        <w:rPr>
          <w:b w:val="0"/>
          <w:szCs w:val="28"/>
        </w:rPr>
        <w:t>В соответствии с пунктом 4 статьи 170.1 Бюджетного кодекса Российской Федерации, пунктом 5.1 статьи 7 Закона Республики Калмыкия от 21 декабря 2007</w:t>
      </w:r>
      <w:r>
        <w:rPr>
          <w:b w:val="0"/>
          <w:szCs w:val="28"/>
        </w:rPr>
        <w:t> </w:t>
      </w:r>
      <w:r w:rsidRPr="00B1676F">
        <w:rPr>
          <w:b w:val="0"/>
          <w:szCs w:val="28"/>
        </w:rPr>
        <w:t>г. №</w:t>
      </w:r>
      <w:r>
        <w:rPr>
          <w:b w:val="0"/>
          <w:szCs w:val="28"/>
        </w:rPr>
        <w:t> </w:t>
      </w:r>
      <w:r w:rsidRPr="00B1676F">
        <w:rPr>
          <w:b w:val="0"/>
          <w:szCs w:val="28"/>
        </w:rPr>
        <w:t>394-III-З «О бюджетном процессе Республики Калмыкия», пунктом 3 статьи 7 Закона Республики Калмыкия от 14 мая</w:t>
      </w:r>
      <w:r>
        <w:rPr>
          <w:b w:val="0"/>
          <w:szCs w:val="28"/>
        </w:rPr>
        <w:t xml:space="preserve">  </w:t>
      </w:r>
      <w:r w:rsidRPr="00B1676F">
        <w:rPr>
          <w:b w:val="0"/>
          <w:szCs w:val="28"/>
        </w:rPr>
        <w:t xml:space="preserve"> 2015</w:t>
      </w:r>
      <w:r>
        <w:rPr>
          <w:b w:val="0"/>
          <w:szCs w:val="28"/>
        </w:rPr>
        <w:t> </w:t>
      </w:r>
      <w:r w:rsidRPr="00B1676F">
        <w:rPr>
          <w:b w:val="0"/>
          <w:szCs w:val="28"/>
        </w:rPr>
        <w:t>г</w:t>
      </w:r>
      <w:r>
        <w:rPr>
          <w:b w:val="0"/>
          <w:szCs w:val="28"/>
        </w:rPr>
        <w:t>.</w:t>
      </w:r>
      <w:r w:rsidRPr="00B1676F">
        <w:rPr>
          <w:b w:val="0"/>
          <w:szCs w:val="28"/>
        </w:rPr>
        <w:t xml:space="preserve"> №</w:t>
      </w:r>
      <w:r>
        <w:rPr>
          <w:b w:val="0"/>
          <w:szCs w:val="28"/>
        </w:rPr>
        <w:t> </w:t>
      </w:r>
      <w:r w:rsidRPr="00B1676F">
        <w:rPr>
          <w:b w:val="0"/>
          <w:szCs w:val="28"/>
        </w:rPr>
        <w:t>113-V-З «О стратегическом планировании в Республике Калмыкия»</w:t>
      </w:r>
      <w:r>
        <w:rPr>
          <w:b w:val="0"/>
          <w:szCs w:val="28"/>
        </w:rPr>
        <w:t>, постановления  Правительства</w:t>
      </w:r>
      <w:r w:rsidRPr="00B1676F">
        <w:rPr>
          <w:b w:val="0"/>
          <w:szCs w:val="28"/>
        </w:rPr>
        <w:t xml:space="preserve"> Республики Калмыкия </w:t>
      </w:r>
      <w:r>
        <w:rPr>
          <w:b w:val="0"/>
          <w:szCs w:val="28"/>
        </w:rPr>
        <w:t xml:space="preserve">  № 260 от 15.07.2015г., администрация ГГМО РК, </w:t>
      </w:r>
      <w:proofErr w:type="gramEnd"/>
    </w:p>
    <w:p w:rsidR="00D47BB3" w:rsidRDefault="00D47BB3" w:rsidP="00D47BB3">
      <w:pPr>
        <w:pStyle w:val="1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</w:t>
      </w:r>
    </w:p>
    <w:p w:rsidR="00D47BB3" w:rsidRDefault="00D47BB3" w:rsidP="00D47BB3">
      <w:pPr>
        <w:pStyle w:val="1"/>
        <w:ind w:firstLine="708"/>
        <w:jc w:val="center"/>
        <w:rPr>
          <w:b w:val="0"/>
          <w:spacing w:val="24"/>
          <w:szCs w:val="28"/>
        </w:rPr>
      </w:pPr>
      <w:r w:rsidRPr="00EE5264">
        <w:rPr>
          <w:b w:val="0"/>
          <w:spacing w:val="24"/>
          <w:szCs w:val="28"/>
        </w:rPr>
        <w:t>постановляет:</w:t>
      </w:r>
    </w:p>
    <w:p w:rsidR="00D47BB3" w:rsidRPr="00D47BB3" w:rsidRDefault="00D47BB3" w:rsidP="00D47BB3"/>
    <w:p w:rsidR="00D47BB3" w:rsidRPr="00D47BB3" w:rsidRDefault="00D47BB3" w:rsidP="00D47BB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BB3">
        <w:rPr>
          <w:rFonts w:ascii="Times New Roman" w:hAnsi="Times New Roman" w:cs="Times New Roman"/>
          <w:b w:val="0"/>
          <w:sz w:val="28"/>
          <w:szCs w:val="28"/>
        </w:rPr>
        <w:t xml:space="preserve">          Утвердить прилагаемый Порядок разработки и утверждения бюджетного прогноза </w:t>
      </w:r>
      <w:proofErr w:type="spellStart"/>
      <w:r w:rsidRPr="00D47BB3">
        <w:rPr>
          <w:rFonts w:ascii="Times New Roman" w:hAnsi="Times New Roman" w:cs="Times New Roman"/>
          <w:b w:val="0"/>
          <w:sz w:val="28"/>
          <w:szCs w:val="28"/>
        </w:rPr>
        <w:t>Городовиковского</w:t>
      </w:r>
      <w:proofErr w:type="spellEnd"/>
      <w:r w:rsidRPr="00D47BB3">
        <w:rPr>
          <w:rFonts w:ascii="Times New Roman" w:hAnsi="Times New Roman" w:cs="Times New Roman"/>
          <w:b w:val="0"/>
          <w:sz w:val="28"/>
          <w:szCs w:val="28"/>
        </w:rPr>
        <w:t xml:space="preserve"> городского муниципального образования Республики Калмыкия на долгосрочный период</w:t>
      </w:r>
    </w:p>
    <w:p w:rsidR="00D47BB3" w:rsidRPr="00D47BB3" w:rsidRDefault="00D47BB3" w:rsidP="00D47BB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7BB3" w:rsidRPr="00D47BB3" w:rsidRDefault="00D47BB3" w:rsidP="00D47BB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7BB3" w:rsidRDefault="00D47BB3" w:rsidP="00D47B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7BB3" w:rsidRDefault="00D47BB3" w:rsidP="00D47B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7BB3" w:rsidRPr="00A60D65" w:rsidRDefault="00D47BB3" w:rsidP="00D47BB3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Г</w:t>
      </w:r>
      <w:r w:rsidRPr="00E60001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r w:rsidRPr="00E600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ГГМО РК </w:t>
      </w:r>
      <w:r w:rsidR="002A5F6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ахлачи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E6000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  <w:r w:rsidRPr="00E600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Середа С.Н</w:t>
      </w:r>
      <w:r>
        <w:rPr>
          <w:rFonts w:ascii="Times New Roman" w:hAnsi="Times New Roman"/>
          <w:sz w:val="28"/>
          <w:szCs w:val="28"/>
        </w:rPr>
        <w:tab/>
      </w:r>
    </w:p>
    <w:p w:rsidR="00D47BB3" w:rsidRDefault="00D47BB3" w:rsidP="00D47BB3">
      <w:pPr>
        <w:rPr>
          <w:rFonts w:ascii="Times New Roman" w:hAnsi="Times New Roman" w:cs="Times New Roman"/>
          <w:sz w:val="24"/>
          <w:szCs w:val="24"/>
        </w:rPr>
      </w:pPr>
    </w:p>
    <w:p w:rsidR="00D47BB3" w:rsidRPr="007A3E89" w:rsidRDefault="00D47BB3" w:rsidP="007A3E89">
      <w:pPr>
        <w:rPr>
          <w:rFonts w:ascii="Times New Roman" w:hAnsi="Times New Roman" w:cs="Times New Roman"/>
          <w:sz w:val="24"/>
          <w:szCs w:val="24"/>
        </w:rPr>
      </w:pPr>
      <w:r w:rsidRPr="00A60D65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A60D65">
        <w:rPr>
          <w:rFonts w:ascii="Times New Roman" w:hAnsi="Times New Roman" w:cs="Times New Roman"/>
          <w:sz w:val="24"/>
          <w:szCs w:val="24"/>
        </w:rPr>
        <w:t>Тимошевская</w:t>
      </w:r>
      <w:proofErr w:type="spellEnd"/>
      <w:r w:rsidRPr="00A60D65">
        <w:rPr>
          <w:rFonts w:ascii="Times New Roman" w:hAnsi="Times New Roman" w:cs="Times New Roman"/>
          <w:sz w:val="24"/>
          <w:szCs w:val="24"/>
        </w:rPr>
        <w:t xml:space="preserve"> Е.А,  тел.. (84731) 9-18-67</w:t>
      </w:r>
    </w:p>
    <w:p w:rsidR="00D47BB3" w:rsidRDefault="00D47BB3" w:rsidP="00D47B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7BB3" w:rsidRPr="002A0EAF" w:rsidRDefault="00D47BB3" w:rsidP="00D47BB3">
      <w:pPr>
        <w:pStyle w:val="ConsPlusNormal"/>
        <w:ind w:firstLine="5812"/>
        <w:outlineLvl w:val="0"/>
        <w:rPr>
          <w:rFonts w:ascii="Times New Roman" w:hAnsi="Times New Roman" w:cs="Times New Roman"/>
          <w:sz w:val="24"/>
          <w:szCs w:val="24"/>
        </w:rPr>
      </w:pPr>
      <w:r w:rsidRPr="002A0EAF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47BB3" w:rsidRPr="002A0EAF" w:rsidRDefault="00D47BB3" w:rsidP="00D47BB3">
      <w:pPr>
        <w:pStyle w:val="ConsPlusNormal"/>
        <w:ind w:firstLine="581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A0EAF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8910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D47BB3" w:rsidRPr="002A0EAF" w:rsidRDefault="008910E3" w:rsidP="00D47BB3">
      <w:pPr>
        <w:pStyle w:val="ConsPlusNormal"/>
        <w:ind w:firstLine="581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ГГМО РК</w:t>
      </w:r>
    </w:p>
    <w:p w:rsidR="00D47BB3" w:rsidRPr="002A0EAF" w:rsidRDefault="00D47BB3" w:rsidP="00D47BB3">
      <w:pPr>
        <w:pStyle w:val="ConsPlusNormal"/>
        <w:ind w:firstLine="5812"/>
        <w:outlineLvl w:val="0"/>
        <w:rPr>
          <w:rFonts w:ascii="Times New Roman" w:hAnsi="Times New Roman" w:cs="Times New Roman"/>
          <w:sz w:val="24"/>
          <w:szCs w:val="24"/>
        </w:rPr>
      </w:pPr>
      <w:r w:rsidRPr="002A0EAF">
        <w:rPr>
          <w:rFonts w:ascii="Times New Roman" w:hAnsi="Times New Roman" w:cs="Times New Roman"/>
          <w:sz w:val="24"/>
          <w:szCs w:val="24"/>
        </w:rPr>
        <w:t xml:space="preserve">от </w:t>
      </w:r>
      <w:r w:rsidR="008910E3">
        <w:rPr>
          <w:rFonts w:ascii="Times New Roman" w:hAnsi="Times New Roman" w:cs="Times New Roman"/>
          <w:sz w:val="24"/>
          <w:szCs w:val="24"/>
        </w:rPr>
        <w:t>11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EAF">
        <w:rPr>
          <w:rFonts w:ascii="Times New Roman" w:hAnsi="Times New Roman" w:cs="Times New Roman"/>
          <w:sz w:val="24"/>
          <w:szCs w:val="24"/>
        </w:rPr>
        <w:t>2015 г. №</w:t>
      </w:r>
      <w:r w:rsidR="008910E3">
        <w:rPr>
          <w:rFonts w:ascii="Times New Roman" w:hAnsi="Times New Roman" w:cs="Times New Roman"/>
          <w:sz w:val="24"/>
          <w:szCs w:val="24"/>
        </w:rPr>
        <w:t xml:space="preserve"> 222</w:t>
      </w:r>
    </w:p>
    <w:p w:rsidR="00D47BB3" w:rsidRDefault="00D47BB3" w:rsidP="00D47B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7BB3" w:rsidRPr="00D4358E" w:rsidRDefault="00D47BB3" w:rsidP="00D47B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D47BB3" w:rsidRPr="00535598" w:rsidRDefault="00D47BB3" w:rsidP="00D47BB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D47BB3" w:rsidRPr="00535598" w:rsidRDefault="00D47BB3" w:rsidP="00D47BB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5598"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  <w:proofErr w:type="spellStart"/>
      <w:r w:rsidR="008910E3" w:rsidRPr="008910E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8910E3" w:rsidRPr="008910E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</w:t>
      </w:r>
      <w:r w:rsidR="0089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598">
        <w:rPr>
          <w:rFonts w:ascii="Times New Roman" w:hAnsi="Times New Roman" w:cs="Times New Roman"/>
          <w:sz w:val="28"/>
          <w:szCs w:val="28"/>
        </w:rPr>
        <w:t>Республики Калмыкия на долгосрочный период</w:t>
      </w:r>
    </w:p>
    <w:p w:rsidR="00D47BB3" w:rsidRPr="00D4358E" w:rsidRDefault="00D47BB3" w:rsidP="00D47B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7BB3" w:rsidRPr="00D4358E" w:rsidRDefault="00D47BB3" w:rsidP="00D47BB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D4358E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>устанавливает правила</w:t>
      </w:r>
      <w:r w:rsidRPr="00D4358E">
        <w:rPr>
          <w:rFonts w:ascii="Times New Roman" w:hAnsi="Times New Roman" w:cs="Times New Roman"/>
          <w:sz w:val="28"/>
          <w:szCs w:val="28"/>
        </w:rPr>
        <w:t xml:space="preserve"> разработки и утверждения, период действия, требования к составу и содержанию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4358E">
        <w:rPr>
          <w:rFonts w:ascii="Times New Roman" w:hAnsi="Times New Roman" w:cs="Times New Roman"/>
          <w:sz w:val="28"/>
          <w:szCs w:val="28"/>
        </w:rPr>
        <w:t>юджетного прогноза</w:t>
      </w:r>
      <w:r w:rsidR="008910E3" w:rsidRPr="008910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0E3" w:rsidRPr="008910E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8910E3" w:rsidRPr="008910E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</w:t>
      </w:r>
      <w:r w:rsidRPr="00D4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D4358E">
        <w:rPr>
          <w:rFonts w:ascii="Times New Roman" w:hAnsi="Times New Roman" w:cs="Times New Roman"/>
          <w:sz w:val="28"/>
          <w:szCs w:val="28"/>
        </w:rPr>
        <w:t xml:space="preserve"> на долгосрочный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358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- б</w:t>
      </w:r>
      <w:r w:rsidRPr="00D4358E">
        <w:rPr>
          <w:rFonts w:ascii="Times New Roman" w:hAnsi="Times New Roman" w:cs="Times New Roman"/>
          <w:sz w:val="28"/>
          <w:szCs w:val="28"/>
        </w:rPr>
        <w:t>юджетный прогноз).</w:t>
      </w:r>
    </w:p>
    <w:p w:rsidR="00D47BB3" w:rsidRDefault="00D47BB3" w:rsidP="00D47BB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D4358E">
        <w:rPr>
          <w:rFonts w:ascii="Times New Roman" w:hAnsi="Times New Roman" w:cs="Times New Roman"/>
          <w:sz w:val="28"/>
          <w:szCs w:val="28"/>
        </w:rPr>
        <w:t xml:space="preserve">Бюджетный прогноз разрабатывается </w:t>
      </w:r>
      <w:r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Pr="00D4358E">
        <w:rPr>
          <w:rFonts w:ascii="Times New Roman" w:hAnsi="Times New Roman" w:cs="Times New Roman"/>
          <w:sz w:val="28"/>
          <w:szCs w:val="28"/>
        </w:rPr>
        <w:t xml:space="preserve">каждые шесть лет на </w:t>
      </w:r>
      <w:r>
        <w:rPr>
          <w:rFonts w:ascii="Times New Roman" w:hAnsi="Times New Roman" w:cs="Times New Roman"/>
          <w:sz w:val="28"/>
          <w:szCs w:val="28"/>
        </w:rPr>
        <w:t>две</w:t>
      </w:r>
      <w:r w:rsidRPr="00D4358E">
        <w:rPr>
          <w:rFonts w:ascii="Times New Roman" w:hAnsi="Times New Roman" w:cs="Times New Roman"/>
          <w:sz w:val="28"/>
          <w:szCs w:val="28"/>
        </w:rPr>
        <w:t xml:space="preserve">надцать </w:t>
      </w:r>
      <w:r>
        <w:rPr>
          <w:rFonts w:ascii="Times New Roman" w:hAnsi="Times New Roman" w:cs="Times New Roman"/>
          <w:sz w:val="28"/>
          <w:szCs w:val="28"/>
        </w:rPr>
        <w:t xml:space="preserve">и более </w:t>
      </w:r>
      <w:r w:rsidRPr="00D4358E">
        <w:rPr>
          <w:rFonts w:ascii="Times New Roman" w:hAnsi="Times New Roman" w:cs="Times New Roman"/>
          <w:sz w:val="28"/>
          <w:szCs w:val="28"/>
        </w:rPr>
        <w:t>лет</w:t>
      </w:r>
      <w:r w:rsidRPr="002A0EAF">
        <w:rPr>
          <w:rFonts w:ascii="Times New Roman" w:hAnsi="Times New Roman" w:cs="Times New Roman"/>
          <w:sz w:val="28"/>
          <w:szCs w:val="28"/>
        </w:rPr>
        <w:t xml:space="preserve"> </w:t>
      </w:r>
      <w:r w:rsidRPr="00D4358E">
        <w:rPr>
          <w:rFonts w:ascii="Times New Roman" w:hAnsi="Times New Roman" w:cs="Times New Roman"/>
          <w:sz w:val="28"/>
          <w:szCs w:val="28"/>
        </w:rPr>
        <w:t xml:space="preserve">на основе прогноза (изменений прогноза) социально-экономического развития </w:t>
      </w:r>
      <w:proofErr w:type="spellStart"/>
      <w:r w:rsidR="008910E3" w:rsidRPr="008910E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8910E3" w:rsidRPr="008910E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</w:t>
      </w:r>
      <w:r w:rsidR="008910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D4358E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4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4358E">
        <w:rPr>
          <w:rFonts w:ascii="Times New Roman" w:hAnsi="Times New Roman" w:cs="Times New Roman"/>
          <w:sz w:val="28"/>
          <w:szCs w:val="28"/>
        </w:rPr>
        <w:t xml:space="preserve">олгосрочный прогноз, изменения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4358E">
        <w:rPr>
          <w:rFonts w:ascii="Times New Roman" w:hAnsi="Times New Roman" w:cs="Times New Roman"/>
          <w:sz w:val="28"/>
          <w:szCs w:val="28"/>
        </w:rPr>
        <w:t>олгосрочного прогноза).</w:t>
      </w:r>
    </w:p>
    <w:p w:rsidR="00D47BB3" w:rsidRPr="00D4358E" w:rsidRDefault="00D47BB3" w:rsidP="00D47BB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D4358E">
        <w:rPr>
          <w:rFonts w:ascii="Times New Roman" w:hAnsi="Times New Roman" w:cs="Times New Roman"/>
          <w:sz w:val="28"/>
          <w:szCs w:val="28"/>
        </w:rPr>
        <w:t>Бюджетный прогноз</w:t>
      </w:r>
      <w:r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Pr="00D4358E">
        <w:rPr>
          <w:rFonts w:ascii="Times New Roman" w:hAnsi="Times New Roman" w:cs="Times New Roman"/>
          <w:sz w:val="28"/>
          <w:szCs w:val="28"/>
        </w:rPr>
        <w:t>:</w:t>
      </w:r>
    </w:p>
    <w:p w:rsidR="00D47BB3" w:rsidRPr="00D4358E" w:rsidRDefault="00D47BB3" w:rsidP="00D47BB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4358E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параметров вариантов долгосрочного прогноза и обоснование выбора варианта долгосрочного прогноза в качестве базового для целей бюджетного прогноза;</w:t>
      </w:r>
    </w:p>
    <w:p w:rsidR="00D47BB3" w:rsidRPr="00D4358E" w:rsidRDefault="00D47BB3" w:rsidP="00D47BB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основные подходы к формированию</w:t>
      </w:r>
      <w:r w:rsidRPr="00D4358E">
        <w:rPr>
          <w:rFonts w:ascii="Times New Roman" w:hAnsi="Times New Roman" w:cs="Times New Roman"/>
          <w:sz w:val="28"/>
          <w:szCs w:val="28"/>
        </w:rPr>
        <w:t xml:space="preserve"> налоговой, бюджетной и долговой политики </w:t>
      </w:r>
      <w:proofErr w:type="spellStart"/>
      <w:r w:rsidR="008910E3" w:rsidRPr="008910E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8910E3" w:rsidRPr="008910E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Республики Калмыкия на долгосрочный период</w:t>
      </w:r>
      <w:r w:rsidRPr="00D4358E">
        <w:rPr>
          <w:rFonts w:ascii="Times New Roman" w:hAnsi="Times New Roman" w:cs="Times New Roman"/>
          <w:sz w:val="28"/>
          <w:szCs w:val="28"/>
        </w:rPr>
        <w:t>;</w:t>
      </w:r>
    </w:p>
    <w:p w:rsidR="00D47BB3" w:rsidRPr="00D4358E" w:rsidRDefault="00D47BB3" w:rsidP="00D47BB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прогноз </w:t>
      </w:r>
      <w:r w:rsidRPr="00D4358E">
        <w:rPr>
          <w:rFonts w:ascii="Times New Roman" w:hAnsi="Times New Roman" w:cs="Times New Roman"/>
          <w:sz w:val="28"/>
          <w:szCs w:val="28"/>
        </w:rPr>
        <w:t>основных характеристик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10E3" w:rsidRPr="008910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0E3" w:rsidRPr="008910E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8910E3" w:rsidRPr="008910E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РК</w:t>
      </w:r>
      <w:r w:rsidRPr="00D4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1 к настоящему Порядку</w:t>
      </w:r>
      <w:r w:rsidRPr="00D4358E">
        <w:rPr>
          <w:rFonts w:ascii="Times New Roman" w:hAnsi="Times New Roman" w:cs="Times New Roman"/>
          <w:sz w:val="28"/>
          <w:szCs w:val="28"/>
        </w:rPr>
        <w:t>;</w:t>
      </w:r>
    </w:p>
    <w:p w:rsidR="00D47BB3" w:rsidRPr="00D4358E" w:rsidRDefault="00D47BB3" w:rsidP="00D47BB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показатели </w:t>
      </w:r>
      <w:r w:rsidRPr="00D4358E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358E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 реализации</w:t>
      </w:r>
      <w:r w:rsidRPr="00D4358E">
        <w:rPr>
          <w:rFonts w:ascii="Times New Roman" w:hAnsi="Times New Roman" w:cs="Times New Roman"/>
          <w:sz w:val="28"/>
          <w:szCs w:val="28"/>
        </w:rPr>
        <w:t xml:space="preserve"> </w:t>
      </w:r>
      <w:r w:rsidR="008910E3">
        <w:rPr>
          <w:rFonts w:ascii="Times New Roman" w:hAnsi="Times New Roman" w:cs="Times New Roman"/>
          <w:sz w:val="28"/>
          <w:szCs w:val="28"/>
        </w:rPr>
        <w:t>муниципаль</w:t>
      </w:r>
      <w:r w:rsidRPr="00D4358E">
        <w:rPr>
          <w:rFonts w:ascii="Times New Roman" w:hAnsi="Times New Roman" w:cs="Times New Roman"/>
          <w:sz w:val="28"/>
          <w:szCs w:val="28"/>
        </w:rPr>
        <w:t>ных программ</w:t>
      </w:r>
      <w:r w:rsidR="008910E3" w:rsidRPr="008910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0E3" w:rsidRPr="008910E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8910E3" w:rsidRPr="008910E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</w:t>
      </w:r>
      <w:r w:rsidRPr="00D43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Калмыкия на период их действия</w:t>
      </w:r>
      <w:r w:rsidRPr="00D4358E">
        <w:rPr>
          <w:rFonts w:ascii="Times New Roman" w:hAnsi="Times New Roman" w:cs="Times New Roman"/>
          <w:sz w:val="28"/>
          <w:szCs w:val="28"/>
        </w:rPr>
        <w:t>, а также прогноз расходов бюджета</w:t>
      </w:r>
      <w:r w:rsidR="008910E3" w:rsidRPr="008910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10E3" w:rsidRPr="008910E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8910E3" w:rsidRPr="008910E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</w:t>
      </w:r>
      <w:r w:rsidR="008910E3">
        <w:rPr>
          <w:rFonts w:ascii="Times New Roman" w:hAnsi="Times New Roman" w:cs="Times New Roman"/>
          <w:sz w:val="28"/>
          <w:szCs w:val="28"/>
        </w:rPr>
        <w:t xml:space="preserve"> РК </w:t>
      </w:r>
      <w:r w:rsidRPr="00D4358E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proofErr w:type="spellStart"/>
      <w:r w:rsidRPr="00D4358E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D4358E">
        <w:rPr>
          <w:rFonts w:ascii="Times New Roman" w:hAnsi="Times New Roman" w:cs="Times New Roman"/>
          <w:sz w:val="28"/>
          <w:szCs w:val="28"/>
        </w:rPr>
        <w:t xml:space="preserve"> направлений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 2 к настоящему Порядку</w:t>
      </w:r>
      <w:r w:rsidRPr="00D4358E">
        <w:rPr>
          <w:rFonts w:ascii="Times New Roman" w:hAnsi="Times New Roman" w:cs="Times New Roman"/>
          <w:sz w:val="28"/>
          <w:szCs w:val="28"/>
        </w:rPr>
        <w:t>.</w:t>
      </w:r>
    </w:p>
    <w:p w:rsidR="00D47BB3" w:rsidRPr="00D4358E" w:rsidRDefault="00D47BB3" w:rsidP="00D47BB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358E">
        <w:rPr>
          <w:rFonts w:ascii="Times New Roman" w:hAnsi="Times New Roman" w:cs="Times New Roman"/>
          <w:sz w:val="28"/>
          <w:szCs w:val="28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D47BB3" w:rsidRPr="008910E3" w:rsidRDefault="00D47BB3" w:rsidP="00D47BB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4358E">
        <w:rPr>
          <w:rFonts w:ascii="Times New Roman" w:hAnsi="Times New Roman" w:cs="Times New Roman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Pr="00D4358E">
        <w:rPr>
          <w:rFonts w:ascii="Times New Roman" w:hAnsi="Times New Roman" w:cs="Times New Roman"/>
          <w:sz w:val="28"/>
          <w:szCs w:val="28"/>
        </w:rPr>
        <w:t>(изменение</w:t>
      </w:r>
      <w:r>
        <w:rPr>
          <w:rFonts w:ascii="Times New Roman" w:hAnsi="Times New Roman" w:cs="Times New Roman"/>
          <w:sz w:val="28"/>
          <w:szCs w:val="28"/>
        </w:rPr>
        <w:t xml:space="preserve"> бюджетного прогноза</w:t>
      </w:r>
      <w:r w:rsidRPr="00D4358E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 w:rsidR="008910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910E3" w:rsidRPr="008910E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8910E3" w:rsidRPr="008910E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РК</w:t>
      </w:r>
    </w:p>
    <w:p w:rsidR="00D47BB3" w:rsidRPr="00D4358E" w:rsidRDefault="00D47BB3" w:rsidP="00D47BB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D4358E">
        <w:rPr>
          <w:rFonts w:ascii="Times New Roman" w:hAnsi="Times New Roman" w:cs="Times New Roman"/>
          <w:sz w:val="28"/>
          <w:szCs w:val="28"/>
        </w:rPr>
        <w:t xml:space="preserve">В целях формирования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4358E">
        <w:rPr>
          <w:rFonts w:ascii="Times New Roman" w:hAnsi="Times New Roman" w:cs="Times New Roman"/>
          <w:sz w:val="28"/>
          <w:szCs w:val="28"/>
        </w:rPr>
        <w:t xml:space="preserve">юджетного прогноза (проекта изменений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4358E">
        <w:rPr>
          <w:rFonts w:ascii="Times New Roman" w:hAnsi="Times New Roman" w:cs="Times New Roman"/>
          <w:sz w:val="28"/>
          <w:szCs w:val="28"/>
        </w:rPr>
        <w:t xml:space="preserve">юджетного прогноза) </w:t>
      </w:r>
      <w:r w:rsidR="008910E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8910E3" w:rsidRPr="008910E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8910E3" w:rsidRPr="008910E3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8910E3" w:rsidRPr="008910E3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РК</w:t>
      </w:r>
      <w:r w:rsidR="008910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0E3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>
        <w:rPr>
          <w:rFonts w:ascii="Times New Roman" w:hAnsi="Times New Roman" w:cs="Times New Roman"/>
          <w:sz w:val="28"/>
          <w:szCs w:val="28"/>
        </w:rPr>
        <w:t>параметры долгосрочного прогноза (изменений долгосрочного прогноза)</w:t>
      </w:r>
      <w:r w:rsidRPr="00D4358E">
        <w:rPr>
          <w:rFonts w:ascii="Times New Roman" w:hAnsi="Times New Roman" w:cs="Times New Roman"/>
          <w:sz w:val="28"/>
          <w:szCs w:val="28"/>
        </w:rPr>
        <w:t xml:space="preserve"> и пояснительную записку к 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358E">
        <w:rPr>
          <w:rFonts w:ascii="Times New Roman" w:hAnsi="Times New Roman" w:cs="Times New Roman"/>
          <w:sz w:val="28"/>
          <w:szCs w:val="28"/>
        </w:rPr>
        <w:t>м</w:t>
      </w:r>
      <w:r w:rsidR="008910E3">
        <w:rPr>
          <w:rFonts w:ascii="Times New Roman" w:hAnsi="Times New Roman" w:cs="Times New Roman"/>
          <w:sz w:val="28"/>
          <w:szCs w:val="28"/>
        </w:rPr>
        <w:t xml:space="preserve"> до 15 ноября текущего года</w:t>
      </w:r>
      <w:r w:rsidRPr="00D4358E">
        <w:rPr>
          <w:rFonts w:ascii="Times New Roman" w:hAnsi="Times New Roman" w:cs="Times New Roman"/>
          <w:sz w:val="28"/>
          <w:szCs w:val="28"/>
        </w:rPr>
        <w:t>.</w:t>
      </w:r>
    </w:p>
    <w:p w:rsidR="00D47BB3" w:rsidRDefault="00D47BB3" w:rsidP="00D47BB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E64CB5">
        <w:rPr>
          <w:rFonts w:ascii="Times New Roman" w:hAnsi="Times New Roman" w:cs="Times New Roman"/>
          <w:sz w:val="28"/>
          <w:szCs w:val="28"/>
        </w:rPr>
        <w:t xml:space="preserve">Проект бюджетного прогноза (проект изменений бюджетного прогноза), за исключением показателей финансового обеспечения </w:t>
      </w:r>
      <w:r w:rsidR="008910E3">
        <w:rPr>
          <w:rFonts w:ascii="Times New Roman" w:hAnsi="Times New Roman" w:cs="Times New Roman"/>
          <w:sz w:val="28"/>
          <w:szCs w:val="28"/>
        </w:rPr>
        <w:t>муниципаль</w:t>
      </w:r>
      <w:r w:rsidRPr="00E64CB5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="008910E3" w:rsidRPr="008910E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8910E3" w:rsidRPr="008910E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Калмыкия, </w:t>
      </w:r>
      <w:r w:rsidRPr="00E64CB5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8910E3">
        <w:rPr>
          <w:rFonts w:ascii="Times New Roman" w:hAnsi="Times New Roman" w:cs="Times New Roman"/>
          <w:sz w:val="28"/>
          <w:szCs w:val="28"/>
        </w:rPr>
        <w:t xml:space="preserve">на Собрание депутатов </w:t>
      </w:r>
      <w:proofErr w:type="spellStart"/>
      <w:r w:rsidR="008910E3" w:rsidRPr="007A3E89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8910E3" w:rsidRPr="007A3E89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</w:t>
      </w:r>
      <w:r>
        <w:rPr>
          <w:rFonts w:ascii="Times New Roman" w:hAnsi="Times New Roman" w:cs="Times New Roman"/>
          <w:sz w:val="28"/>
          <w:szCs w:val="28"/>
        </w:rPr>
        <w:t>Калмыкия</w:t>
      </w:r>
      <w:r w:rsidRPr="00D4358E">
        <w:rPr>
          <w:rFonts w:ascii="Times New Roman" w:hAnsi="Times New Roman" w:cs="Times New Roman"/>
          <w:sz w:val="28"/>
          <w:szCs w:val="28"/>
        </w:rPr>
        <w:t xml:space="preserve"> </w:t>
      </w:r>
      <w:r w:rsidRPr="00E64CB5">
        <w:rPr>
          <w:rFonts w:ascii="Times New Roman" w:hAnsi="Times New Roman" w:cs="Times New Roman"/>
          <w:sz w:val="28"/>
          <w:szCs w:val="28"/>
        </w:rPr>
        <w:t xml:space="preserve">одновременно с проектом </w:t>
      </w:r>
      <w:r w:rsidR="007A3E89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7A3E89" w:rsidRPr="007A3E89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7A3E89" w:rsidRPr="007A3E89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</w:t>
      </w:r>
      <w:r w:rsidRPr="00E64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Калмыкия о </w:t>
      </w:r>
      <w:r w:rsidRPr="00E64CB5">
        <w:rPr>
          <w:rFonts w:ascii="Times New Roman" w:hAnsi="Times New Roman" w:cs="Times New Roman"/>
          <w:sz w:val="28"/>
          <w:szCs w:val="28"/>
        </w:rPr>
        <w:t>бюджете</w:t>
      </w:r>
      <w:r w:rsidR="007A3E89">
        <w:rPr>
          <w:rFonts w:ascii="Times New Roman" w:hAnsi="Times New Roman" w:cs="Times New Roman"/>
          <w:sz w:val="28"/>
          <w:szCs w:val="28"/>
        </w:rPr>
        <w:t xml:space="preserve"> ГГМО РК  на очередной финансовый год.</w:t>
      </w:r>
    </w:p>
    <w:p w:rsidR="00D47BB3" w:rsidRDefault="00D47BB3" w:rsidP="00D47BB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ED5D51">
        <w:rPr>
          <w:rFonts w:ascii="Times New Roman" w:hAnsi="Times New Roman" w:cs="Times New Roman"/>
          <w:sz w:val="28"/>
          <w:szCs w:val="28"/>
        </w:rPr>
        <w:t xml:space="preserve">Бюджетный прогноз (изменения бюджетного прогноза) утверждается </w:t>
      </w:r>
      <w:r w:rsidR="007A3E89">
        <w:rPr>
          <w:rFonts w:ascii="Times New Roman" w:hAnsi="Times New Roman" w:cs="Times New Roman"/>
          <w:sz w:val="28"/>
          <w:szCs w:val="28"/>
        </w:rPr>
        <w:t>администрацией</w:t>
      </w:r>
      <w:r w:rsidR="007A3E89" w:rsidRPr="007A3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3E89" w:rsidRPr="007A3E89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7A3E89" w:rsidRPr="007A3E89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Калмыкия</w:t>
      </w:r>
      <w:r w:rsidRPr="00ED5D51">
        <w:rPr>
          <w:rFonts w:ascii="Times New Roman" w:hAnsi="Times New Roman" w:cs="Times New Roman"/>
          <w:sz w:val="28"/>
          <w:szCs w:val="28"/>
        </w:rPr>
        <w:t xml:space="preserve"> в срок, не превышающий двух месяцев со дня официального опубликования </w:t>
      </w:r>
      <w:r w:rsidR="007A3E89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ГГМО РК 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7A3E89">
        <w:rPr>
          <w:rFonts w:ascii="Times New Roman" w:hAnsi="Times New Roman" w:cs="Times New Roman"/>
          <w:sz w:val="28"/>
          <w:szCs w:val="28"/>
        </w:rPr>
        <w:t xml:space="preserve"> ГГМО РК на очередной финансовый год.</w:t>
      </w:r>
    </w:p>
    <w:p w:rsidR="00D47BB3" w:rsidRPr="007A3E89" w:rsidRDefault="00D47BB3" w:rsidP="00D47BB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E89">
        <w:rPr>
          <w:rFonts w:ascii="Times New Roman" w:hAnsi="Times New Roman" w:cs="Times New Roman"/>
          <w:sz w:val="28"/>
          <w:szCs w:val="28"/>
        </w:rPr>
        <w:t xml:space="preserve">8. Бюджетный прогноз может быть изменен с учетом изменения долгосрочного прогноза и принятого </w:t>
      </w:r>
      <w:r w:rsidR="007A3E89">
        <w:rPr>
          <w:rFonts w:ascii="Times New Roman" w:hAnsi="Times New Roman" w:cs="Times New Roman"/>
          <w:sz w:val="28"/>
          <w:szCs w:val="28"/>
        </w:rPr>
        <w:t xml:space="preserve"> решения Собрания депутатов ГГМО РК  о </w:t>
      </w:r>
      <w:r w:rsidRPr="007A3E8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7A3E89">
        <w:rPr>
          <w:rFonts w:ascii="Times New Roman" w:hAnsi="Times New Roman" w:cs="Times New Roman"/>
          <w:sz w:val="28"/>
          <w:szCs w:val="28"/>
        </w:rPr>
        <w:t xml:space="preserve"> ГГМО РК </w:t>
      </w:r>
      <w:r w:rsidRPr="007A3E8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без продления периода его действия.</w:t>
      </w:r>
    </w:p>
    <w:p w:rsidR="00D47BB3" w:rsidRPr="00ED5D51" w:rsidRDefault="00D47BB3" w:rsidP="00D47BB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7BB3" w:rsidRDefault="00D47BB3" w:rsidP="00D47B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47BB3" w:rsidRDefault="00D47BB3" w:rsidP="00D47BB3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  <w:bookmarkStart w:id="0" w:name="sub_2000"/>
    </w:p>
    <w:p w:rsidR="00D47BB3" w:rsidRDefault="00D47BB3" w:rsidP="00D47BB3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</w:p>
    <w:p w:rsidR="00D47BB3" w:rsidRDefault="00D47BB3" w:rsidP="00D47BB3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</w:p>
    <w:p w:rsidR="00D47BB3" w:rsidRDefault="00D47BB3" w:rsidP="00D47BB3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</w:p>
    <w:p w:rsidR="00D47BB3" w:rsidRDefault="00D47BB3" w:rsidP="00D47BB3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</w:p>
    <w:p w:rsidR="00D47BB3" w:rsidRDefault="00D47BB3" w:rsidP="00D47BB3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</w:p>
    <w:p w:rsidR="00D47BB3" w:rsidRDefault="00D47BB3" w:rsidP="00D47BB3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</w:p>
    <w:p w:rsidR="00D47BB3" w:rsidRDefault="00D47BB3" w:rsidP="00D47BB3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</w:p>
    <w:p w:rsidR="00D47BB3" w:rsidRDefault="00D47BB3" w:rsidP="00D47BB3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</w:p>
    <w:p w:rsidR="00D47BB3" w:rsidRDefault="00D47BB3" w:rsidP="00D47BB3">
      <w:pPr>
        <w:ind w:firstLine="698"/>
        <w:jc w:val="right"/>
        <w:rPr>
          <w:rStyle w:val="a8"/>
          <w:b w:val="0"/>
          <w:bCs/>
          <w:color w:val="auto"/>
          <w:sz w:val="28"/>
          <w:szCs w:val="28"/>
        </w:rPr>
      </w:pPr>
    </w:p>
    <w:p w:rsidR="00D47BB3" w:rsidRDefault="00D47BB3" w:rsidP="007A3E89">
      <w:pPr>
        <w:rPr>
          <w:rStyle w:val="a8"/>
          <w:b w:val="0"/>
          <w:bCs/>
          <w:color w:val="auto"/>
          <w:sz w:val="28"/>
          <w:szCs w:val="28"/>
        </w:rPr>
      </w:pPr>
    </w:p>
    <w:p w:rsidR="007A3E89" w:rsidRDefault="007A3E89" w:rsidP="007A3E89">
      <w:pPr>
        <w:rPr>
          <w:rStyle w:val="a8"/>
          <w:b w:val="0"/>
          <w:bCs/>
          <w:color w:val="auto"/>
          <w:sz w:val="28"/>
          <w:szCs w:val="28"/>
        </w:rPr>
      </w:pPr>
    </w:p>
    <w:p w:rsidR="00D14991" w:rsidRDefault="00D14991" w:rsidP="007A3E89">
      <w:pPr>
        <w:rPr>
          <w:rStyle w:val="a8"/>
          <w:b w:val="0"/>
          <w:bCs/>
          <w:color w:val="auto"/>
          <w:sz w:val="28"/>
          <w:szCs w:val="28"/>
        </w:rPr>
      </w:pPr>
    </w:p>
    <w:p w:rsidR="00D47BB3" w:rsidRPr="007A3E89" w:rsidRDefault="00D47BB3" w:rsidP="007A3E89">
      <w:pPr>
        <w:spacing w:line="240" w:lineRule="auto"/>
        <w:ind w:firstLine="4678"/>
        <w:rPr>
          <w:rFonts w:ascii="Times New Roman" w:hAnsi="Times New Roman" w:cs="Times New Roman"/>
          <w:b/>
        </w:rPr>
      </w:pPr>
      <w:r w:rsidRPr="007A3E89">
        <w:rPr>
          <w:rStyle w:val="a8"/>
          <w:rFonts w:ascii="Times New Roman" w:hAnsi="Times New Roman" w:cs="Times New Roman"/>
          <w:b w:val="0"/>
          <w:bCs/>
          <w:color w:val="auto"/>
        </w:rPr>
        <w:t>Приложение № 1</w:t>
      </w:r>
    </w:p>
    <w:bookmarkEnd w:id="0"/>
    <w:p w:rsidR="00D47BB3" w:rsidRPr="007A3E89" w:rsidRDefault="00D47BB3" w:rsidP="007A3E89">
      <w:pPr>
        <w:spacing w:line="240" w:lineRule="auto"/>
        <w:ind w:firstLine="4678"/>
        <w:rPr>
          <w:rFonts w:ascii="Times New Roman" w:hAnsi="Times New Roman" w:cs="Times New Roman"/>
          <w:b/>
        </w:rPr>
      </w:pPr>
      <w:r w:rsidRPr="007A3E89">
        <w:rPr>
          <w:rStyle w:val="a8"/>
          <w:rFonts w:ascii="Times New Roman" w:hAnsi="Times New Roman" w:cs="Times New Roman"/>
          <w:b w:val="0"/>
          <w:bCs/>
          <w:color w:val="auto"/>
        </w:rPr>
        <w:t>к Порядку разработки и утверждения</w:t>
      </w:r>
    </w:p>
    <w:p w:rsidR="00D47BB3" w:rsidRPr="007A3E89" w:rsidRDefault="007A3E89" w:rsidP="007A3E89">
      <w:pPr>
        <w:spacing w:line="240" w:lineRule="auto"/>
        <w:ind w:firstLine="4678"/>
        <w:rPr>
          <w:rStyle w:val="a8"/>
          <w:rFonts w:ascii="Times New Roman" w:hAnsi="Times New Roman" w:cs="Times New Roman"/>
          <w:b w:val="0"/>
          <w:bCs/>
          <w:color w:val="auto"/>
        </w:rPr>
      </w:pPr>
      <w:r>
        <w:rPr>
          <w:rStyle w:val="a8"/>
          <w:rFonts w:ascii="Times New Roman" w:hAnsi="Times New Roman" w:cs="Times New Roman"/>
          <w:b w:val="0"/>
          <w:bCs/>
          <w:color w:val="auto"/>
        </w:rPr>
        <w:t>бюджетного прогноза ГГМО РК</w:t>
      </w:r>
      <w:r w:rsidR="00D47BB3" w:rsidRPr="007A3E89">
        <w:rPr>
          <w:rStyle w:val="a8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D47BB3" w:rsidRPr="007A3E89" w:rsidRDefault="00D47BB3" w:rsidP="007A3E89">
      <w:pPr>
        <w:spacing w:line="240" w:lineRule="auto"/>
        <w:ind w:firstLine="4678"/>
        <w:rPr>
          <w:rStyle w:val="a8"/>
          <w:rFonts w:ascii="Times New Roman" w:hAnsi="Times New Roman" w:cs="Times New Roman"/>
          <w:b w:val="0"/>
          <w:bCs/>
          <w:color w:val="auto"/>
        </w:rPr>
      </w:pPr>
      <w:r w:rsidRPr="007A3E89">
        <w:rPr>
          <w:rStyle w:val="a8"/>
          <w:rFonts w:ascii="Times New Roman" w:hAnsi="Times New Roman" w:cs="Times New Roman"/>
          <w:b w:val="0"/>
          <w:bCs/>
          <w:color w:val="auto"/>
        </w:rPr>
        <w:t xml:space="preserve">на долгосрочный период, </w:t>
      </w:r>
      <w:proofErr w:type="gramStart"/>
      <w:r w:rsidRPr="007A3E89">
        <w:rPr>
          <w:rStyle w:val="a8"/>
          <w:rFonts w:ascii="Times New Roman" w:hAnsi="Times New Roman" w:cs="Times New Roman"/>
          <w:b w:val="0"/>
          <w:bCs/>
          <w:color w:val="auto"/>
        </w:rPr>
        <w:t>утвержденного</w:t>
      </w:r>
      <w:proofErr w:type="gramEnd"/>
      <w:r w:rsidRPr="007A3E89">
        <w:rPr>
          <w:rStyle w:val="a8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D47BB3" w:rsidRPr="007A3E89" w:rsidRDefault="00D47BB3" w:rsidP="007A3E89">
      <w:pPr>
        <w:spacing w:line="240" w:lineRule="auto"/>
        <w:ind w:firstLine="4678"/>
        <w:rPr>
          <w:rStyle w:val="a8"/>
          <w:rFonts w:ascii="Times New Roman" w:hAnsi="Times New Roman" w:cs="Times New Roman"/>
          <w:b w:val="0"/>
          <w:bCs/>
          <w:color w:val="auto"/>
        </w:rPr>
      </w:pPr>
      <w:r w:rsidRPr="007A3E89">
        <w:rPr>
          <w:rStyle w:val="a8"/>
          <w:rFonts w:ascii="Times New Roman" w:hAnsi="Times New Roman" w:cs="Times New Roman"/>
          <w:b w:val="0"/>
          <w:bCs/>
          <w:color w:val="auto"/>
        </w:rPr>
        <w:t xml:space="preserve">постановлением </w:t>
      </w:r>
      <w:r w:rsidR="007A3E89">
        <w:rPr>
          <w:rStyle w:val="a8"/>
          <w:rFonts w:ascii="Times New Roman" w:hAnsi="Times New Roman" w:cs="Times New Roman"/>
          <w:b w:val="0"/>
          <w:bCs/>
          <w:color w:val="auto"/>
        </w:rPr>
        <w:t xml:space="preserve">администрации ГГМО </w:t>
      </w:r>
    </w:p>
    <w:p w:rsidR="00D47BB3" w:rsidRPr="007A3E89" w:rsidRDefault="007A3E89" w:rsidP="007A3E89">
      <w:pPr>
        <w:spacing w:line="240" w:lineRule="auto"/>
        <w:ind w:firstLine="4678"/>
        <w:rPr>
          <w:rFonts w:ascii="Times New Roman" w:hAnsi="Times New Roman" w:cs="Times New Roman"/>
          <w:bCs/>
        </w:rPr>
      </w:pPr>
      <w:r>
        <w:rPr>
          <w:rStyle w:val="a8"/>
          <w:rFonts w:ascii="Times New Roman" w:hAnsi="Times New Roman" w:cs="Times New Roman"/>
          <w:b w:val="0"/>
          <w:bCs/>
          <w:color w:val="auto"/>
        </w:rPr>
        <w:t xml:space="preserve">РК </w:t>
      </w:r>
      <w:r w:rsidR="00D47BB3" w:rsidRPr="007A3E89">
        <w:rPr>
          <w:rStyle w:val="a8"/>
          <w:rFonts w:ascii="Times New Roman" w:hAnsi="Times New Roman" w:cs="Times New Roman"/>
          <w:b w:val="0"/>
          <w:bCs/>
          <w:color w:val="auto"/>
        </w:rPr>
        <w:t xml:space="preserve">от </w:t>
      </w:r>
      <w:r>
        <w:rPr>
          <w:rStyle w:val="a8"/>
          <w:rFonts w:ascii="Times New Roman" w:hAnsi="Times New Roman" w:cs="Times New Roman"/>
          <w:b w:val="0"/>
          <w:bCs/>
          <w:color w:val="auto"/>
        </w:rPr>
        <w:t>11 ноябр</w:t>
      </w:r>
      <w:r w:rsidR="00D47BB3" w:rsidRPr="007A3E89">
        <w:rPr>
          <w:rStyle w:val="a8"/>
          <w:rFonts w:ascii="Times New Roman" w:hAnsi="Times New Roman" w:cs="Times New Roman"/>
          <w:b w:val="0"/>
          <w:bCs/>
          <w:color w:val="auto"/>
        </w:rPr>
        <w:t>я 2015 г. № 2</w:t>
      </w:r>
      <w:r>
        <w:rPr>
          <w:rStyle w:val="a8"/>
          <w:rFonts w:ascii="Times New Roman" w:hAnsi="Times New Roman" w:cs="Times New Roman"/>
          <w:b w:val="0"/>
          <w:bCs/>
          <w:color w:val="auto"/>
        </w:rPr>
        <w:t>22</w:t>
      </w: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rPr>
          <w:rFonts w:ascii="Times New Roman" w:hAnsi="Times New Roman" w:cs="Times New Roman"/>
          <w:sz w:val="28"/>
          <w:szCs w:val="28"/>
        </w:rPr>
      </w:pPr>
    </w:p>
    <w:p w:rsidR="00D47BB3" w:rsidRPr="007A3E89" w:rsidRDefault="00D47BB3" w:rsidP="00D47BB3">
      <w:pPr>
        <w:rPr>
          <w:rFonts w:ascii="Times New Roman" w:hAnsi="Times New Roman" w:cs="Times New Roman"/>
          <w:sz w:val="28"/>
          <w:szCs w:val="28"/>
        </w:rPr>
      </w:pPr>
    </w:p>
    <w:p w:rsidR="00D47BB3" w:rsidRPr="007A3E89" w:rsidRDefault="00D47BB3" w:rsidP="007A3E89">
      <w:pPr>
        <w:pStyle w:val="1"/>
        <w:jc w:val="center"/>
        <w:rPr>
          <w:b w:val="0"/>
          <w:szCs w:val="28"/>
        </w:rPr>
      </w:pPr>
      <w:r w:rsidRPr="007A3E89">
        <w:rPr>
          <w:b w:val="0"/>
          <w:szCs w:val="28"/>
        </w:rPr>
        <w:t xml:space="preserve">Прогноз основных характеристик </w:t>
      </w:r>
      <w:r w:rsidR="007A3E89">
        <w:rPr>
          <w:b w:val="0"/>
          <w:szCs w:val="28"/>
        </w:rPr>
        <w:t xml:space="preserve">  </w:t>
      </w:r>
      <w:r w:rsidRPr="007A3E89">
        <w:rPr>
          <w:b w:val="0"/>
          <w:szCs w:val="28"/>
        </w:rPr>
        <w:t xml:space="preserve">бюджета </w:t>
      </w:r>
      <w:r w:rsidR="007A3E89">
        <w:rPr>
          <w:b w:val="0"/>
          <w:szCs w:val="28"/>
        </w:rPr>
        <w:t xml:space="preserve"> </w:t>
      </w:r>
      <w:proofErr w:type="spellStart"/>
      <w:r w:rsidR="007A3E89">
        <w:rPr>
          <w:b w:val="0"/>
          <w:szCs w:val="28"/>
        </w:rPr>
        <w:t>Городовиковского</w:t>
      </w:r>
      <w:proofErr w:type="spellEnd"/>
      <w:r w:rsidR="007A3E89">
        <w:rPr>
          <w:b w:val="0"/>
          <w:szCs w:val="28"/>
        </w:rPr>
        <w:t xml:space="preserve"> городского муниципального образования Республики Калмыкия</w:t>
      </w:r>
    </w:p>
    <w:p w:rsidR="00D47BB3" w:rsidRPr="007A3E89" w:rsidRDefault="00D47BB3" w:rsidP="00D47BB3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3E89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(млн. руб.)</w:t>
      </w:r>
    </w:p>
    <w:tbl>
      <w:tblPr>
        <w:tblW w:w="101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1033"/>
        <w:gridCol w:w="992"/>
        <w:gridCol w:w="992"/>
        <w:gridCol w:w="993"/>
        <w:gridCol w:w="1134"/>
        <w:gridCol w:w="992"/>
        <w:gridCol w:w="840"/>
      </w:tblGrid>
      <w:tr w:rsidR="00D47BB3" w:rsidRPr="007A3E89" w:rsidTr="00F13B08">
        <w:tblPrEx>
          <w:tblCellMar>
            <w:top w:w="0" w:type="dxa"/>
            <w:bottom w:w="0" w:type="dxa"/>
          </w:tblCellMar>
        </w:tblPrEx>
        <w:tc>
          <w:tcPr>
            <w:tcW w:w="32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</w:tr>
      <w:tr w:rsidR="00D47BB3" w:rsidRPr="007A3E89" w:rsidTr="00F13B08">
        <w:tblPrEx>
          <w:tblCellMar>
            <w:top w:w="0" w:type="dxa"/>
            <w:bottom w:w="0" w:type="dxa"/>
          </w:tblCellMar>
        </w:tblPrEx>
        <w:tc>
          <w:tcPr>
            <w:tcW w:w="32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N+1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N+2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N+3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N+4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4800" cy="22860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1450" cy="1905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BB3" w:rsidRPr="007A3E89" w:rsidTr="00F13B0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7BB3" w:rsidRPr="007A3E89" w:rsidTr="00F13B08">
        <w:tblPrEx>
          <w:tblCellMar>
            <w:top w:w="0" w:type="dxa"/>
            <w:bottom w:w="0" w:type="dxa"/>
          </w:tblCellMar>
        </w:tblPrEx>
        <w:tc>
          <w:tcPr>
            <w:tcW w:w="101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proofErr w:type="spellStart"/>
            <w:r w:rsidR="007A3E89"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="007A3E89">
              <w:rPr>
                <w:rFonts w:ascii="Times New Roman" w:hAnsi="Times New Roman" w:cs="Times New Roman"/>
                <w:sz w:val="28"/>
                <w:szCs w:val="28"/>
              </w:rPr>
              <w:t xml:space="preserve"> ГМО РК</w:t>
            </w:r>
          </w:p>
        </w:tc>
      </w:tr>
      <w:tr w:rsidR="00D47BB3" w:rsidRPr="007A3E89" w:rsidTr="00F13B0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B3" w:rsidRPr="007A3E89" w:rsidTr="00F13B0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B3" w:rsidRPr="007A3E89" w:rsidTr="00F13B08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 xml:space="preserve">Дефицит / </w:t>
            </w:r>
            <w:proofErr w:type="spellStart"/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BB3" w:rsidRPr="007A3E89" w:rsidRDefault="00D47BB3" w:rsidP="00D47BB3">
      <w:pPr>
        <w:rPr>
          <w:rFonts w:ascii="Times New Roman" w:hAnsi="Times New Roman" w:cs="Times New Roman"/>
          <w:sz w:val="28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rPr>
          <w:rFonts w:ascii="Times New Roman" w:hAnsi="Times New Roman" w:cs="Times New Roman"/>
          <w:sz w:val="28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D47BB3" w:rsidRPr="007A3E89" w:rsidRDefault="00D47BB3" w:rsidP="00D47BB3">
      <w:pPr>
        <w:rPr>
          <w:rFonts w:ascii="Times New Roman" w:hAnsi="Times New Roman" w:cs="Times New Roman"/>
          <w:sz w:val="28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</w:p>
    <w:p w:rsidR="007A3E89" w:rsidRPr="007A3E89" w:rsidRDefault="007A3E89" w:rsidP="007A3E89">
      <w:pPr>
        <w:spacing w:line="240" w:lineRule="auto"/>
        <w:ind w:firstLine="4678"/>
        <w:rPr>
          <w:rFonts w:ascii="Times New Roman" w:hAnsi="Times New Roman" w:cs="Times New Roman"/>
          <w:b/>
        </w:rPr>
      </w:pPr>
      <w:r w:rsidRPr="007A3E89">
        <w:rPr>
          <w:rStyle w:val="a8"/>
          <w:rFonts w:ascii="Times New Roman" w:hAnsi="Times New Roman" w:cs="Times New Roman"/>
          <w:b w:val="0"/>
          <w:bCs/>
          <w:color w:val="auto"/>
        </w:rPr>
        <w:t xml:space="preserve">Приложение № </w:t>
      </w:r>
      <w:r>
        <w:rPr>
          <w:rStyle w:val="a8"/>
          <w:rFonts w:ascii="Times New Roman" w:hAnsi="Times New Roman" w:cs="Times New Roman"/>
          <w:b w:val="0"/>
          <w:bCs/>
          <w:color w:val="auto"/>
        </w:rPr>
        <w:t>2</w:t>
      </w:r>
    </w:p>
    <w:p w:rsidR="007A3E89" w:rsidRPr="007A3E89" w:rsidRDefault="007A3E89" w:rsidP="007A3E89">
      <w:pPr>
        <w:spacing w:line="240" w:lineRule="auto"/>
        <w:ind w:firstLine="4678"/>
        <w:rPr>
          <w:rFonts w:ascii="Times New Roman" w:hAnsi="Times New Roman" w:cs="Times New Roman"/>
          <w:b/>
        </w:rPr>
      </w:pPr>
      <w:r w:rsidRPr="007A3E89">
        <w:rPr>
          <w:rStyle w:val="a8"/>
          <w:rFonts w:ascii="Times New Roman" w:hAnsi="Times New Roman" w:cs="Times New Roman"/>
          <w:b w:val="0"/>
          <w:bCs/>
          <w:color w:val="auto"/>
        </w:rPr>
        <w:t>к Порядку разработки и утверждения</w:t>
      </w:r>
    </w:p>
    <w:p w:rsidR="007A3E89" w:rsidRPr="007A3E89" w:rsidRDefault="007A3E89" w:rsidP="007A3E89">
      <w:pPr>
        <w:spacing w:line="240" w:lineRule="auto"/>
        <w:ind w:firstLine="4678"/>
        <w:rPr>
          <w:rStyle w:val="a8"/>
          <w:rFonts w:ascii="Times New Roman" w:hAnsi="Times New Roman" w:cs="Times New Roman"/>
          <w:b w:val="0"/>
          <w:bCs/>
          <w:color w:val="auto"/>
        </w:rPr>
      </w:pPr>
      <w:r>
        <w:rPr>
          <w:rStyle w:val="a8"/>
          <w:rFonts w:ascii="Times New Roman" w:hAnsi="Times New Roman" w:cs="Times New Roman"/>
          <w:b w:val="0"/>
          <w:bCs/>
          <w:color w:val="auto"/>
        </w:rPr>
        <w:t>бюджетного прогноза ГГМО РК</w:t>
      </w:r>
      <w:r w:rsidRPr="007A3E89">
        <w:rPr>
          <w:rStyle w:val="a8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7A3E89" w:rsidRPr="007A3E89" w:rsidRDefault="007A3E89" w:rsidP="007A3E89">
      <w:pPr>
        <w:spacing w:line="240" w:lineRule="auto"/>
        <w:ind w:firstLine="4678"/>
        <w:rPr>
          <w:rStyle w:val="a8"/>
          <w:rFonts w:ascii="Times New Roman" w:hAnsi="Times New Roman" w:cs="Times New Roman"/>
          <w:b w:val="0"/>
          <w:bCs/>
          <w:color w:val="auto"/>
        </w:rPr>
      </w:pPr>
      <w:r w:rsidRPr="007A3E89">
        <w:rPr>
          <w:rStyle w:val="a8"/>
          <w:rFonts w:ascii="Times New Roman" w:hAnsi="Times New Roman" w:cs="Times New Roman"/>
          <w:b w:val="0"/>
          <w:bCs/>
          <w:color w:val="auto"/>
        </w:rPr>
        <w:t xml:space="preserve">на долгосрочный период, </w:t>
      </w:r>
      <w:proofErr w:type="gramStart"/>
      <w:r w:rsidRPr="007A3E89">
        <w:rPr>
          <w:rStyle w:val="a8"/>
          <w:rFonts w:ascii="Times New Roman" w:hAnsi="Times New Roman" w:cs="Times New Roman"/>
          <w:b w:val="0"/>
          <w:bCs/>
          <w:color w:val="auto"/>
        </w:rPr>
        <w:t>утвержденного</w:t>
      </w:r>
      <w:proofErr w:type="gramEnd"/>
      <w:r w:rsidRPr="007A3E89">
        <w:rPr>
          <w:rStyle w:val="a8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7A3E89" w:rsidRPr="007A3E89" w:rsidRDefault="007A3E89" w:rsidP="007A3E89">
      <w:pPr>
        <w:spacing w:line="240" w:lineRule="auto"/>
        <w:ind w:firstLine="4678"/>
        <w:rPr>
          <w:rStyle w:val="a8"/>
          <w:rFonts w:ascii="Times New Roman" w:hAnsi="Times New Roman" w:cs="Times New Roman"/>
          <w:b w:val="0"/>
          <w:bCs/>
          <w:color w:val="auto"/>
        </w:rPr>
      </w:pPr>
      <w:r w:rsidRPr="007A3E89">
        <w:rPr>
          <w:rStyle w:val="a8"/>
          <w:rFonts w:ascii="Times New Roman" w:hAnsi="Times New Roman" w:cs="Times New Roman"/>
          <w:b w:val="0"/>
          <w:bCs/>
          <w:color w:val="auto"/>
        </w:rPr>
        <w:t xml:space="preserve">постановлением </w:t>
      </w:r>
      <w:r>
        <w:rPr>
          <w:rStyle w:val="a8"/>
          <w:rFonts w:ascii="Times New Roman" w:hAnsi="Times New Roman" w:cs="Times New Roman"/>
          <w:b w:val="0"/>
          <w:bCs/>
          <w:color w:val="auto"/>
        </w:rPr>
        <w:t xml:space="preserve">администрации ГГМО </w:t>
      </w:r>
    </w:p>
    <w:p w:rsidR="007A3E89" w:rsidRPr="007A3E89" w:rsidRDefault="007A3E89" w:rsidP="007A3E89">
      <w:pPr>
        <w:spacing w:line="240" w:lineRule="auto"/>
        <w:ind w:firstLine="4678"/>
        <w:rPr>
          <w:rFonts w:ascii="Times New Roman" w:hAnsi="Times New Roman" w:cs="Times New Roman"/>
          <w:bCs/>
        </w:rPr>
      </w:pPr>
      <w:r>
        <w:rPr>
          <w:rStyle w:val="a8"/>
          <w:rFonts w:ascii="Times New Roman" w:hAnsi="Times New Roman" w:cs="Times New Roman"/>
          <w:b w:val="0"/>
          <w:bCs/>
          <w:color w:val="auto"/>
        </w:rPr>
        <w:t xml:space="preserve">РК </w:t>
      </w:r>
      <w:r w:rsidRPr="007A3E89">
        <w:rPr>
          <w:rStyle w:val="a8"/>
          <w:rFonts w:ascii="Times New Roman" w:hAnsi="Times New Roman" w:cs="Times New Roman"/>
          <w:b w:val="0"/>
          <w:bCs/>
          <w:color w:val="auto"/>
        </w:rPr>
        <w:t xml:space="preserve">от </w:t>
      </w:r>
      <w:r>
        <w:rPr>
          <w:rStyle w:val="a8"/>
          <w:rFonts w:ascii="Times New Roman" w:hAnsi="Times New Roman" w:cs="Times New Roman"/>
          <w:b w:val="0"/>
          <w:bCs/>
          <w:color w:val="auto"/>
        </w:rPr>
        <w:t>11 ноябр</w:t>
      </w:r>
      <w:r w:rsidRPr="007A3E89">
        <w:rPr>
          <w:rStyle w:val="a8"/>
          <w:rFonts w:ascii="Times New Roman" w:hAnsi="Times New Roman" w:cs="Times New Roman"/>
          <w:b w:val="0"/>
          <w:bCs/>
          <w:color w:val="auto"/>
        </w:rPr>
        <w:t>я 2015 г. № 2</w:t>
      </w:r>
      <w:r>
        <w:rPr>
          <w:rStyle w:val="a8"/>
          <w:rFonts w:ascii="Times New Roman" w:hAnsi="Times New Roman" w:cs="Times New Roman"/>
          <w:b w:val="0"/>
          <w:bCs/>
          <w:color w:val="auto"/>
        </w:rPr>
        <w:t>22</w:t>
      </w:r>
    </w:p>
    <w:p w:rsidR="00D47BB3" w:rsidRPr="007A3E89" w:rsidRDefault="00D47BB3" w:rsidP="00D47BB3">
      <w:pPr>
        <w:rPr>
          <w:rFonts w:ascii="Times New Roman" w:hAnsi="Times New Roman" w:cs="Times New Roman"/>
          <w:sz w:val="28"/>
          <w:szCs w:val="28"/>
        </w:rPr>
      </w:pPr>
    </w:p>
    <w:p w:rsidR="00D47BB3" w:rsidRPr="007A3E89" w:rsidRDefault="00D47BB3" w:rsidP="00D47BB3">
      <w:pPr>
        <w:rPr>
          <w:rFonts w:ascii="Times New Roman" w:hAnsi="Times New Roman" w:cs="Times New Roman"/>
          <w:sz w:val="28"/>
          <w:szCs w:val="28"/>
        </w:rPr>
      </w:pPr>
    </w:p>
    <w:p w:rsidR="00D47BB3" w:rsidRPr="007A3E89" w:rsidRDefault="00D47BB3" w:rsidP="00D47BB3">
      <w:pPr>
        <w:pStyle w:val="1"/>
        <w:rPr>
          <w:b w:val="0"/>
          <w:szCs w:val="28"/>
        </w:rPr>
      </w:pPr>
      <w:r w:rsidRPr="007A3E89">
        <w:rPr>
          <w:b w:val="0"/>
          <w:szCs w:val="28"/>
        </w:rPr>
        <w:t>Показатели финансового обеспечения</w:t>
      </w:r>
      <w:r w:rsidR="007A3E89">
        <w:rPr>
          <w:b w:val="0"/>
          <w:szCs w:val="28"/>
        </w:rPr>
        <w:t xml:space="preserve"> реализации муниципальных </w:t>
      </w:r>
      <w:r w:rsidRPr="007A3E89">
        <w:rPr>
          <w:b w:val="0"/>
          <w:szCs w:val="28"/>
        </w:rPr>
        <w:t xml:space="preserve">программ </w:t>
      </w:r>
      <w:proofErr w:type="spellStart"/>
      <w:r w:rsidR="007A3E89">
        <w:rPr>
          <w:b w:val="0"/>
          <w:szCs w:val="28"/>
        </w:rPr>
        <w:t>Городовиковского</w:t>
      </w:r>
      <w:proofErr w:type="spellEnd"/>
      <w:r w:rsidR="007A3E89">
        <w:rPr>
          <w:b w:val="0"/>
          <w:szCs w:val="28"/>
        </w:rPr>
        <w:t xml:space="preserve"> ГМО </w:t>
      </w:r>
      <w:r w:rsidRPr="007A3E89">
        <w:rPr>
          <w:b w:val="0"/>
          <w:szCs w:val="28"/>
        </w:rPr>
        <w:t xml:space="preserve">Республики Калмыкия на период их действия, а также прогноз расходов бюджета </w:t>
      </w:r>
      <w:r w:rsidR="007A3E89">
        <w:rPr>
          <w:b w:val="0"/>
          <w:szCs w:val="28"/>
        </w:rPr>
        <w:t xml:space="preserve"> </w:t>
      </w:r>
      <w:proofErr w:type="spellStart"/>
      <w:r w:rsidR="007A3E89">
        <w:rPr>
          <w:b w:val="0"/>
          <w:szCs w:val="28"/>
        </w:rPr>
        <w:t>Городовиковского</w:t>
      </w:r>
      <w:proofErr w:type="spellEnd"/>
      <w:r w:rsidR="007A3E89">
        <w:rPr>
          <w:b w:val="0"/>
          <w:szCs w:val="28"/>
        </w:rPr>
        <w:t xml:space="preserve"> ГМОРК </w:t>
      </w:r>
      <w:r w:rsidRPr="007A3E89">
        <w:rPr>
          <w:b w:val="0"/>
          <w:szCs w:val="28"/>
        </w:rPr>
        <w:t xml:space="preserve">на осуществление </w:t>
      </w:r>
      <w:proofErr w:type="spellStart"/>
      <w:r w:rsidRPr="007A3E89">
        <w:rPr>
          <w:b w:val="0"/>
          <w:szCs w:val="28"/>
        </w:rPr>
        <w:t>непрограммных</w:t>
      </w:r>
      <w:proofErr w:type="spellEnd"/>
      <w:r w:rsidRPr="007A3E89">
        <w:rPr>
          <w:b w:val="0"/>
          <w:szCs w:val="28"/>
        </w:rPr>
        <w:t xml:space="preserve"> направлений деятельности</w:t>
      </w:r>
    </w:p>
    <w:p w:rsidR="00D47BB3" w:rsidRPr="007A3E89" w:rsidRDefault="00D47BB3" w:rsidP="00D47BB3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3E89">
        <w:rPr>
          <w:rStyle w:val="a8"/>
          <w:rFonts w:ascii="Times New Roman" w:hAnsi="Times New Roman" w:cs="Times New Roman"/>
          <w:b w:val="0"/>
          <w:bCs/>
          <w:color w:val="auto"/>
          <w:sz w:val="28"/>
          <w:szCs w:val="28"/>
        </w:rPr>
        <w:t>(млн. руб.)</w:t>
      </w:r>
    </w:p>
    <w:tbl>
      <w:tblPr>
        <w:tblW w:w="101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840"/>
        <w:gridCol w:w="840"/>
        <w:gridCol w:w="840"/>
        <w:gridCol w:w="840"/>
        <w:gridCol w:w="840"/>
        <w:gridCol w:w="840"/>
        <w:gridCol w:w="840"/>
      </w:tblGrid>
      <w:tr w:rsidR="00D47BB3" w:rsidRPr="007A3E89" w:rsidTr="00F13B08">
        <w:tblPrEx>
          <w:tblCellMar>
            <w:top w:w="0" w:type="dxa"/>
            <w:bottom w:w="0" w:type="dxa"/>
          </w:tblCellMar>
        </w:tblPrEx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47BB3" w:rsidRPr="007A3E89" w:rsidTr="00F13B08">
        <w:tblPrEx>
          <w:tblCellMar>
            <w:top w:w="0" w:type="dxa"/>
            <w:bottom w:w="0" w:type="dxa"/>
          </w:tblCellMar>
        </w:tblPrEx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N+1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N+2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N+3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N+4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4800" cy="2286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1450" cy="1905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BB3" w:rsidRPr="007A3E89" w:rsidTr="00F13B0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47BB3" w:rsidRPr="007A3E89" w:rsidTr="00F13B0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B3" w:rsidRPr="007A3E89" w:rsidTr="00F13B0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</w:t>
            </w:r>
          </w:p>
          <w:p w:rsidR="00D47BB3" w:rsidRPr="007A3E89" w:rsidRDefault="007A3E89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D47BB3" w:rsidRPr="007A3E8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ГМО </w:t>
            </w:r>
            <w:r w:rsidR="00D47BB3" w:rsidRPr="007A3E89">
              <w:rPr>
                <w:rFonts w:ascii="Times New Roman" w:hAnsi="Times New Roman" w:cs="Times New Roman"/>
                <w:sz w:val="28"/>
                <w:szCs w:val="28"/>
              </w:rPr>
              <w:t>Республики Калмыкия, 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B3" w:rsidRPr="007A3E89" w:rsidTr="00F13B0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B3" w:rsidRPr="007A3E89" w:rsidTr="00F13B0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B3" w:rsidRPr="007A3E89" w:rsidTr="00F13B0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BB3" w:rsidRPr="007A3E89" w:rsidTr="00F13B08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E89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</w:t>
            </w:r>
            <w:proofErr w:type="spellStart"/>
            <w:r w:rsidRPr="007A3E89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A3E8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направлений деятельности</w:t>
            </w:r>
            <w:r w:rsidRPr="007A3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BB3" w:rsidRPr="007A3E89" w:rsidRDefault="00D47BB3" w:rsidP="00F13B0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BB3" w:rsidRPr="007A3E89" w:rsidRDefault="00D47BB3" w:rsidP="00D47BB3">
      <w:pPr>
        <w:rPr>
          <w:rFonts w:ascii="Times New Roman" w:hAnsi="Times New Roman" w:cs="Times New Roman"/>
          <w:sz w:val="28"/>
          <w:szCs w:val="28"/>
        </w:rPr>
      </w:pPr>
    </w:p>
    <w:p w:rsidR="00D47BB3" w:rsidRPr="007A3E89" w:rsidRDefault="00D47BB3" w:rsidP="00D47BB3">
      <w:pPr>
        <w:rPr>
          <w:rFonts w:ascii="Times New Roman" w:hAnsi="Times New Roman" w:cs="Times New Roman"/>
          <w:sz w:val="28"/>
          <w:szCs w:val="28"/>
        </w:rPr>
      </w:pPr>
      <w:r w:rsidRPr="007A3E89">
        <w:rPr>
          <w:rFonts w:ascii="Times New Roman" w:hAnsi="Times New Roman" w:cs="Times New Roman"/>
          <w:sz w:val="28"/>
          <w:szCs w:val="28"/>
        </w:rPr>
        <w:t>Примечание:</w:t>
      </w:r>
    </w:p>
    <w:p w:rsidR="00D47BB3" w:rsidRPr="007A3E89" w:rsidRDefault="00D47BB3" w:rsidP="00D47BB3">
      <w:pPr>
        <w:rPr>
          <w:rFonts w:ascii="Times New Roman" w:hAnsi="Times New Roman" w:cs="Times New Roman"/>
          <w:sz w:val="28"/>
          <w:szCs w:val="28"/>
        </w:rPr>
      </w:pPr>
      <w:r w:rsidRPr="007A3E89">
        <w:rPr>
          <w:rFonts w:ascii="Times New Roman" w:hAnsi="Times New Roman" w:cs="Times New Roman"/>
          <w:sz w:val="28"/>
          <w:szCs w:val="28"/>
        </w:rPr>
        <w:t>1. N - первый год периода действия бюджетного прогноза;</w:t>
      </w:r>
    </w:p>
    <w:p w:rsidR="00D47BB3" w:rsidRPr="007A3E89" w:rsidRDefault="00D47BB3" w:rsidP="00D47BB3">
      <w:pPr>
        <w:rPr>
          <w:rFonts w:ascii="Times New Roman" w:hAnsi="Times New Roman" w:cs="Times New Roman"/>
          <w:sz w:val="28"/>
          <w:szCs w:val="28"/>
        </w:rPr>
      </w:pPr>
      <w:r w:rsidRPr="007A3E8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A3E8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A3E89">
        <w:rPr>
          <w:rFonts w:ascii="Times New Roman" w:hAnsi="Times New Roman" w:cs="Times New Roman"/>
          <w:sz w:val="28"/>
          <w:szCs w:val="28"/>
        </w:rPr>
        <w:t xml:space="preserve"> - последний год периода действия бюджетного прогноза.</w:t>
      </w:r>
    </w:p>
    <w:p w:rsidR="00D47BB3" w:rsidRPr="007A3E89" w:rsidRDefault="00D47BB3" w:rsidP="0028557E">
      <w:pPr>
        <w:tabs>
          <w:tab w:val="center" w:pos="4848"/>
        </w:tabs>
        <w:rPr>
          <w:rFonts w:ascii="Times New Roman" w:hAnsi="Times New Roman" w:cs="Times New Roman"/>
          <w:sz w:val="28"/>
          <w:szCs w:val="28"/>
        </w:rPr>
      </w:pPr>
    </w:p>
    <w:p w:rsidR="00D47BB3" w:rsidRPr="007A3E89" w:rsidRDefault="00D47BB3" w:rsidP="0028557E">
      <w:pPr>
        <w:tabs>
          <w:tab w:val="center" w:pos="4848"/>
        </w:tabs>
        <w:rPr>
          <w:rFonts w:ascii="Times New Roman" w:hAnsi="Times New Roman" w:cs="Times New Roman"/>
          <w:sz w:val="28"/>
          <w:szCs w:val="28"/>
        </w:rPr>
      </w:pPr>
    </w:p>
    <w:p w:rsidR="00D47BB3" w:rsidRPr="007A3E89" w:rsidRDefault="00D47BB3" w:rsidP="0028557E">
      <w:pPr>
        <w:tabs>
          <w:tab w:val="center" w:pos="4848"/>
        </w:tabs>
        <w:rPr>
          <w:rFonts w:ascii="Times New Roman" w:hAnsi="Times New Roman" w:cs="Times New Roman"/>
          <w:sz w:val="28"/>
          <w:szCs w:val="28"/>
        </w:rPr>
      </w:pPr>
    </w:p>
    <w:sectPr w:rsidR="00D47BB3" w:rsidRPr="007A3E89" w:rsidSect="00A60D6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351" w:rsidRDefault="00867351" w:rsidP="006A0F40">
      <w:pPr>
        <w:spacing w:after="0" w:line="240" w:lineRule="auto"/>
      </w:pPr>
      <w:r>
        <w:separator/>
      </w:r>
    </w:p>
  </w:endnote>
  <w:endnote w:type="continuationSeparator" w:id="0">
    <w:p w:rsidR="00867351" w:rsidRDefault="00867351" w:rsidP="006A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351" w:rsidRDefault="00867351" w:rsidP="006A0F40">
      <w:pPr>
        <w:spacing w:after="0" w:line="240" w:lineRule="auto"/>
      </w:pPr>
      <w:r>
        <w:separator/>
      </w:r>
    </w:p>
  </w:footnote>
  <w:footnote w:type="continuationSeparator" w:id="0">
    <w:p w:rsidR="00867351" w:rsidRDefault="00867351" w:rsidP="006A0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03F458E"/>
    <w:multiLevelType w:val="hybridMultilevel"/>
    <w:tmpl w:val="C1D45A7A"/>
    <w:lvl w:ilvl="0" w:tplc="5DE6C83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0001"/>
    <w:rsid w:val="00045EE9"/>
    <w:rsid w:val="001063B5"/>
    <w:rsid w:val="001F08A5"/>
    <w:rsid w:val="0028557E"/>
    <w:rsid w:val="002A5F6C"/>
    <w:rsid w:val="003A58F1"/>
    <w:rsid w:val="00405115"/>
    <w:rsid w:val="00550913"/>
    <w:rsid w:val="00581443"/>
    <w:rsid w:val="00581A33"/>
    <w:rsid w:val="006A0F40"/>
    <w:rsid w:val="006D5095"/>
    <w:rsid w:val="00725DC6"/>
    <w:rsid w:val="00740322"/>
    <w:rsid w:val="00754806"/>
    <w:rsid w:val="007A3E89"/>
    <w:rsid w:val="008210B7"/>
    <w:rsid w:val="00867351"/>
    <w:rsid w:val="008910E3"/>
    <w:rsid w:val="008E0A35"/>
    <w:rsid w:val="009C7105"/>
    <w:rsid w:val="00A60D65"/>
    <w:rsid w:val="00BC755C"/>
    <w:rsid w:val="00BD26FC"/>
    <w:rsid w:val="00C42695"/>
    <w:rsid w:val="00CF023F"/>
    <w:rsid w:val="00CF0DD9"/>
    <w:rsid w:val="00D14991"/>
    <w:rsid w:val="00D47BB3"/>
    <w:rsid w:val="00DA7C32"/>
    <w:rsid w:val="00DB74F4"/>
    <w:rsid w:val="00E13A68"/>
    <w:rsid w:val="00E60001"/>
    <w:rsid w:val="00EC2A7E"/>
    <w:rsid w:val="00ED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33"/>
  </w:style>
  <w:style w:type="paragraph" w:styleId="1">
    <w:name w:val="heading 1"/>
    <w:basedOn w:val="a"/>
    <w:next w:val="a"/>
    <w:link w:val="10"/>
    <w:qFormat/>
    <w:rsid w:val="00E600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00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rsid w:val="00E6000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600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rsid w:val="00E600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E6000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600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60001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E60001"/>
    <w:rPr>
      <w:color w:val="0000FF"/>
      <w:u w:val="single"/>
    </w:rPr>
  </w:style>
  <w:style w:type="paragraph" w:styleId="a4">
    <w:name w:val="Normal (Web)"/>
    <w:basedOn w:val="a"/>
    <w:rsid w:val="00E60001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styleId="a5">
    <w:name w:val="Strong"/>
    <w:basedOn w:val="a0"/>
    <w:qFormat/>
    <w:rsid w:val="00E600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0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7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7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Цветовое выделение"/>
    <w:uiPriority w:val="99"/>
    <w:rsid w:val="00D47BB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D47B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a">
    <w:name w:val="header"/>
    <w:basedOn w:val="a"/>
    <w:link w:val="ab"/>
    <w:uiPriority w:val="99"/>
    <w:rsid w:val="00D47B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47BB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6A0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0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..\..\BOBBY\KALMGERB.PCX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ggm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2015-11-13T07:26:00Z</cp:lastPrinted>
  <dcterms:created xsi:type="dcterms:W3CDTF">2014-11-11T10:27:00Z</dcterms:created>
  <dcterms:modified xsi:type="dcterms:W3CDTF">2015-11-13T07:54:00Z</dcterms:modified>
</cp:coreProperties>
</file>